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3BE4" w14:textId="7F415464" w:rsidR="00B5575F" w:rsidRPr="008718B0" w:rsidRDefault="00B5575F" w:rsidP="00A235A4">
      <w:pPr>
        <w:pStyle w:val="NormlWeb"/>
        <w:spacing w:before="120" w:beforeAutospacing="0" w:after="120" w:afterAutospacing="0"/>
        <w:jc w:val="center"/>
        <w:rPr>
          <w:b/>
          <w:bCs/>
          <w:color w:val="000000" w:themeColor="text1"/>
          <w:sz w:val="28"/>
          <w:szCs w:val="28"/>
          <w:shd w:val="clear" w:color="auto" w:fill="FFFFFF"/>
          <w:lang w:val="en"/>
        </w:rPr>
      </w:pPr>
      <w:r w:rsidRPr="008718B0">
        <w:rPr>
          <w:b/>
          <w:bCs/>
          <w:color w:val="000000" w:themeColor="text1"/>
          <w:sz w:val="28"/>
          <w:szCs w:val="28"/>
          <w:shd w:val="clear" w:color="auto" w:fill="FFFFFF"/>
          <w:lang w:val="en"/>
        </w:rPr>
        <w:t>PRIVACY</w:t>
      </w:r>
      <w:r w:rsidR="00C871F0" w:rsidRPr="008718B0">
        <w:rPr>
          <w:b/>
          <w:bCs/>
          <w:color w:val="000000" w:themeColor="text1"/>
          <w:sz w:val="28"/>
          <w:szCs w:val="28"/>
          <w:shd w:val="clear" w:color="auto" w:fill="FFFFFF"/>
          <w:lang w:val="en"/>
        </w:rPr>
        <w:t xml:space="preserve"> </w:t>
      </w:r>
      <w:r w:rsidRPr="008718B0">
        <w:rPr>
          <w:b/>
          <w:bCs/>
          <w:color w:val="000000" w:themeColor="text1"/>
          <w:sz w:val="28"/>
          <w:szCs w:val="28"/>
          <w:shd w:val="clear" w:color="auto" w:fill="FFFFFF"/>
          <w:lang w:val="en"/>
        </w:rPr>
        <w:t xml:space="preserve">NOTICE </w:t>
      </w:r>
      <w:r w:rsidRPr="008718B0">
        <w:rPr>
          <w:color w:val="000000" w:themeColor="text1"/>
          <w:sz w:val="28"/>
          <w:szCs w:val="28"/>
          <w:shd w:val="clear" w:color="auto" w:fill="FFFFFF"/>
          <w:lang w:val="en"/>
        </w:rPr>
        <w:br/>
      </w:r>
      <w:r w:rsidRPr="008718B0">
        <w:rPr>
          <w:b/>
          <w:bCs/>
          <w:color w:val="000000" w:themeColor="text1"/>
          <w:sz w:val="28"/>
          <w:szCs w:val="28"/>
          <w:shd w:val="clear" w:color="auto" w:fill="FFFFFF"/>
          <w:lang w:val="en"/>
        </w:rPr>
        <w:t xml:space="preserve">to the subscribers of the website </w:t>
      </w:r>
      <w:r w:rsidR="002C07BB" w:rsidRPr="008718B0">
        <w:rPr>
          <w:b/>
          <w:bCs/>
          <w:color w:val="000000" w:themeColor="text1"/>
          <w:sz w:val="28"/>
          <w:szCs w:val="28"/>
          <w:shd w:val="clear" w:color="auto" w:fill="FFFFFF"/>
          <w:lang w:val="en"/>
        </w:rPr>
        <w:t>evainvestment</w:t>
      </w:r>
      <w:r w:rsidR="005E7B60" w:rsidRPr="008718B0">
        <w:rPr>
          <w:b/>
          <w:bCs/>
          <w:color w:val="000000" w:themeColor="text1"/>
          <w:sz w:val="28"/>
          <w:szCs w:val="28"/>
          <w:shd w:val="clear" w:color="auto" w:fill="FFFFFF"/>
          <w:lang w:val="en"/>
        </w:rPr>
        <w:t>.</w:t>
      </w:r>
      <w:r w:rsidR="002C07BB" w:rsidRPr="008718B0">
        <w:rPr>
          <w:b/>
          <w:bCs/>
          <w:color w:val="000000" w:themeColor="text1"/>
          <w:sz w:val="28"/>
          <w:szCs w:val="28"/>
          <w:shd w:val="clear" w:color="auto" w:fill="FFFFFF"/>
          <w:lang w:val="en"/>
        </w:rPr>
        <w:t>eu</w:t>
      </w:r>
    </w:p>
    <w:p w14:paraId="28D5FA78" w14:textId="77777777" w:rsidR="00A235A4" w:rsidRPr="008718B0" w:rsidRDefault="00A235A4" w:rsidP="00A235A4">
      <w:pPr>
        <w:pStyle w:val="NormlWeb"/>
        <w:spacing w:before="120" w:beforeAutospacing="0" w:after="120" w:afterAutospacing="0"/>
        <w:jc w:val="center"/>
        <w:rPr>
          <w:b/>
          <w:bCs/>
          <w:color w:val="000000" w:themeColor="text1"/>
          <w:sz w:val="28"/>
          <w:szCs w:val="28"/>
          <w:shd w:val="clear" w:color="auto" w:fill="FFFFFF"/>
          <w:lang w:val="en"/>
        </w:rPr>
      </w:pPr>
    </w:p>
    <w:p w14:paraId="164338DD" w14:textId="77777777" w:rsidR="00A235A4" w:rsidRPr="008718B0" w:rsidRDefault="00A235A4" w:rsidP="00A235A4">
      <w:pPr>
        <w:pStyle w:val="NormlWeb"/>
        <w:spacing w:before="120" w:beforeAutospacing="0" w:after="120" w:afterAutospacing="0"/>
        <w:jc w:val="center"/>
        <w:rPr>
          <w:b/>
          <w:bCs/>
          <w:color w:val="000000" w:themeColor="text1"/>
          <w:sz w:val="28"/>
          <w:szCs w:val="28"/>
          <w:shd w:val="clear" w:color="auto" w:fill="FFFFFF"/>
          <w:lang w:val="en"/>
        </w:rPr>
      </w:pPr>
    </w:p>
    <w:p w14:paraId="2DAB9037" w14:textId="77777777" w:rsidR="00A235A4" w:rsidRPr="008718B0" w:rsidRDefault="00A235A4" w:rsidP="00A235A4">
      <w:pPr>
        <w:pStyle w:val="NormlWeb"/>
        <w:spacing w:before="120" w:beforeAutospacing="0" w:after="120" w:afterAutospacing="0"/>
        <w:jc w:val="center"/>
        <w:rPr>
          <w:color w:val="000000" w:themeColor="text1"/>
          <w:sz w:val="28"/>
          <w:szCs w:val="28"/>
        </w:rPr>
      </w:pPr>
    </w:p>
    <w:p w14:paraId="1C2F84D4" w14:textId="77777777" w:rsidR="00B5575F" w:rsidRPr="008718B0" w:rsidRDefault="00B5575F" w:rsidP="00A235A4">
      <w:pPr>
        <w:pStyle w:val="NormlWeb"/>
        <w:numPr>
          <w:ilvl w:val="0"/>
          <w:numId w:val="22"/>
        </w:numPr>
        <w:spacing w:before="120" w:beforeAutospacing="0" w:after="120" w:afterAutospacing="0"/>
        <w:jc w:val="both"/>
        <w:rPr>
          <w:rStyle w:val="Kiemels2"/>
          <w:color w:val="000000" w:themeColor="text1"/>
          <w:sz w:val="22"/>
          <w:szCs w:val="22"/>
          <w:u w:val="single"/>
        </w:rPr>
      </w:pPr>
      <w:r w:rsidRPr="008718B0">
        <w:rPr>
          <w:rStyle w:val="Kiemels2"/>
          <w:color w:val="000000" w:themeColor="text1"/>
          <w:sz w:val="22"/>
          <w:szCs w:val="22"/>
          <w:u w:val="single"/>
          <w:lang w:val="en"/>
        </w:rPr>
        <w:t>Introduction</w:t>
      </w:r>
    </w:p>
    <w:p w14:paraId="66077B2D" w14:textId="4E5ADED9" w:rsidR="00B5575F" w:rsidRPr="008718B0" w:rsidRDefault="00B5575F"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shd w:val="clear" w:color="auto" w:fill="FFFFFF"/>
          <w:lang w:val="en"/>
        </w:rPr>
        <w:t xml:space="preserve">This Privacy Notice applies to the processing of personal data related to the website </w:t>
      </w:r>
      <w:r w:rsidR="002C07BB" w:rsidRPr="008718B0">
        <w:rPr>
          <w:color w:val="000000" w:themeColor="text1"/>
          <w:sz w:val="22"/>
          <w:szCs w:val="22"/>
          <w:shd w:val="clear" w:color="auto" w:fill="FFFFFF"/>
          <w:lang w:val="en"/>
        </w:rPr>
        <w:t>of Eva Investment Ltd.</w:t>
      </w:r>
      <w:r w:rsidRPr="008718B0">
        <w:rPr>
          <w:color w:val="000000" w:themeColor="text1"/>
          <w:sz w:val="22"/>
          <w:szCs w:val="22"/>
          <w:shd w:val="clear" w:color="auto" w:fill="FFFFFF"/>
          <w:lang w:val="en"/>
        </w:rPr>
        <w:t xml:space="preserve"> (hereinafter: </w:t>
      </w:r>
      <w:r w:rsidR="002C07BB" w:rsidRPr="008718B0">
        <w:rPr>
          <w:color w:val="000000" w:themeColor="text1"/>
          <w:sz w:val="22"/>
          <w:szCs w:val="22"/>
          <w:shd w:val="clear" w:color="auto" w:fill="FFFFFF"/>
          <w:lang w:val="en"/>
        </w:rPr>
        <w:t>Data Controller</w:t>
      </w:r>
      <w:r w:rsidRPr="008718B0">
        <w:rPr>
          <w:color w:val="000000" w:themeColor="text1"/>
          <w:sz w:val="22"/>
          <w:szCs w:val="22"/>
          <w:shd w:val="clear" w:color="auto" w:fill="FFFFFF"/>
          <w:lang w:val="en"/>
        </w:rPr>
        <w:t>).</w:t>
      </w:r>
    </w:p>
    <w:p w14:paraId="480D5619" w14:textId="7D092678" w:rsidR="00B5575F" w:rsidRPr="008718B0" w:rsidRDefault="006333C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shd w:val="clear" w:color="auto" w:fill="FFFFFF"/>
          <w:lang w:val="en"/>
        </w:rPr>
        <w:t xml:space="preserve">Visitors </w:t>
      </w:r>
      <w:proofErr w:type="gramStart"/>
      <w:r w:rsidRPr="008718B0">
        <w:rPr>
          <w:color w:val="000000" w:themeColor="text1"/>
          <w:sz w:val="22"/>
          <w:szCs w:val="22"/>
          <w:shd w:val="clear" w:color="auto" w:fill="FFFFFF"/>
          <w:lang w:val="en"/>
        </w:rPr>
        <w:t>of</w:t>
      </w:r>
      <w:proofErr w:type="gramEnd"/>
      <w:r w:rsidRPr="008718B0">
        <w:rPr>
          <w:color w:val="000000" w:themeColor="text1"/>
          <w:sz w:val="22"/>
          <w:szCs w:val="22"/>
          <w:shd w:val="clear" w:color="auto" w:fill="FFFFFF"/>
          <w:lang w:val="en"/>
        </w:rPr>
        <w:t xml:space="preserve"> the website acknowledge that it processes personal data related to the electronic interface </w:t>
      </w:r>
      <w:r w:rsidR="002C07BB" w:rsidRPr="008718B0">
        <w:rPr>
          <w:color w:val="000000" w:themeColor="text1"/>
          <w:sz w:val="22"/>
          <w:szCs w:val="22"/>
          <w:shd w:val="clear" w:color="auto" w:fill="FFFFFF"/>
          <w:lang w:val="en"/>
        </w:rPr>
        <w:t>evainvestment.eu</w:t>
      </w:r>
      <w:r w:rsidRPr="008718B0">
        <w:rPr>
          <w:color w:val="000000" w:themeColor="text1"/>
          <w:sz w:val="22"/>
          <w:szCs w:val="22"/>
          <w:shd w:val="clear" w:color="auto" w:fill="FFFFFF"/>
          <w:lang w:val="en"/>
        </w:rPr>
        <w:t xml:space="preserve"> as described below.</w:t>
      </w:r>
    </w:p>
    <w:p w14:paraId="42ACD460" w14:textId="77777777" w:rsidR="008C7937" w:rsidRPr="008718B0" w:rsidRDefault="008C7937"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shd w:val="clear" w:color="auto" w:fill="FFFFFF"/>
          <w:lang w:val="en"/>
        </w:rPr>
        <w:t>Providing personal data is required for registration, and it is also possible to contact us. It is necessary to process your personal data during registration for making payments and for providing the service.</w:t>
      </w:r>
    </w:p>
    <w:p w14:paraId="7B5C31CD" w14:textId="77777777" w:rsidR="008C7937" w:rsidRPr="008718B0" w:rsidRDefault="008C7937"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If during the use of our service you feel that you have additional questions beyond what is contained in this Notice, or if any part of the Notice is not clear or needs clarification, please contact the staff member responsible for the protection of personal data at the e-mail address or telephone number provided below. Upon receiving your request, we will provide detailed information in each case in accordance with the contents of your request about the personal data processed, the purpose, legal basis, duration of data processing, and the activities related to the data processing.</w:t>
      </w:r>
    </w:p>
    <w:p w14:paraId="3B684677" w14:textId="77777777" w:rsidR="00C871F0" w:rsidRPr="008718B0" w:rsidRDefault="00C871F0" w:rsidP="00A235A4">
      <w:pPr>
        <w:pStyle w:val="NormlWeb"/>
        <w:spacing w:before="120" w:beforeAutospacing="0" w:after="120" w:afterAutospacing="0"/>
        <w:jc w:val="both"/>
        <w:rPr>
          <w:color w:val="000000" w:themeColor="text1"/>
          <w:sz w:val="22"/>
          <w:szCs w:val="22"/>
        </w:rPr>
      </w:pPr>
    </w:p>
    <w:p w14:paraId="1AEF77E4" w14:textId="77777777" w:rsidR="00B5575F" w:rsidRPr="008718B0" w:rsidRDefault="00FF0D1E" w:rsidP="00A235A4">
      <w:pPr>
        <w:pStyle w:val="NormlWeb"/>
        <w:numPr>
          <w:ilvl w:val="0"/>
          <w:numId w:val="22"/>
        </w:numPr>
        <w:spacing w:before="120" w:beforeAutospacing="0" w:after="120" w:afterAutospacing="0"/>
        <w:jc w:val="both"/>
        <w:rPr>
          <w:rStyle w:val="Kiemels2"/>
          <w:color w:val="000000" w:themeColor="text1"/>
          <w:sz w:val="22"/>
          <w:szCs w:val="22"/>
          <w:u w:val="single"/>
        </w:rPr>
      </w:pPr>
      <w:r w:rsidRPr="008718B0">
        <w:rPr>
          <w:rStyle w:val="Kiemels2"/>
          <w:color w:val="000000" w:themeColor="text1"/>
          <w:sz w:val="22"/>
          <w:szCs w:val="22"/>
          <w:u w:val="single"/>
          <w:lang w:val="en"/>
        </w:rPr>
        <w:t>Data Controller</w:t>
      </w:r>
    </w:p>
    <w:p w14:paraId="76F00772" w14:textId="31053B28" w:rsidR="008E21BF" w:rsidRPr="008718B0" w:rsidRDefault="002C07BB" w:rsidP="00A235A4">
      <w:pPr>
        <w:pStyle w:val="NormlWeb"/>
        <w:spacing w:before="120" w:beforeAutospacing="0" w:after="120" w:afterAutospacing="0"/>
        <w:jc w:val="both"/>
        <w:rPr>
          <w:b/>
          <w:bCs/>
          <w:color w:val="000000" w:themeColor="text1"/>
          <w:sz w:val="22"/>
          <w:szCs w:val="22"/>
          <w:shd w:val="clear" w:color="auto" w:fill="FFFFFF"/>
        </w:rPr>
      </w:pPr>
      <w:r w:rsidRPr="008718B0">
        <w:rPr>
          <w:b/>
          <w:bCs/>
          <w:color w:val="000000" w:themeColor="text1"/>
          <w:sz w:val="22"/>
          <w:szCs w:val="22"/>
          <w:shd w:val="clear" w:color="auto" w:fill="FFFFFF"/>
          <w:lang w:val="en"/>
        </w:rPr>
        <w:t>EVA INVESTMENT LTD.</w:t>
      </w:r>
    </w:p>
    <w:p w14:paraId="715AA675" w14:textId="651BAA27" w:rsidR="008E21BF" w:rsidRPr="008718B0" w:rsidRDefault="008E21BF" w:rsidP="00A235A4">
      <w:pPr>
        <w:pStyle w:val="NormlWeb"/>
        <w:numPr>
          <w:ilvl w:val="0"/>
          <w:numId w:val="21"/>
        </w:numPr>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 xml:space="preserve">Registered office: </w:t>
      </w:r>
      <w:r w:rsidR="00170FCE" w:rsidRPr="008718B0">
        <w:rPr>
          <w:color w:val="000000" w:themeColor="text1"/>
          <w:sz w:val="22"/>
          <w:szCs w:val="22"/>
          <w:shd w:val="clear" w:color="auto" w:fill="FFFFFF"/>
          <w:lang w:val="en"/>
        </w:rPr>
        <w:t xml:space="preserve">DSO-IFZA, IFZA </w:t>
      </w:r>
      <w:proofErr w:type="spellStart"/>
      <w:r w:rsidR="00170FCE" w:rsidRPr="008718B0">
        <w:rPr>
          <w:color w:val="000000" w:themeColor="text1"/>
          <w:sz w:val="22"/>
          <w:szCs w:val="22"/>
          <w:shd w:val="clear" w:color="auto" w:fill="FFFFFF"/>
          <w:lang w:val="en"/>
        </w:rPr>
        <w:t>properites</w:t>
      </w:r>
      <w:proofErr w:type="spellEnd"/>
      <w:r w:rsidR="00170FCE" w:rsidRPr="008718B0">
        <w:rPr>
          <w:color w:val="000000" w:themeColor="text1"/>
          <w:sz w:val="22"/>
          <w:szCs w:val="22"/>
          <w:shd w:val="clear" w:color="auto" w:fill="FFFFFF"/>
          <w:lang w:val="en"/>
        </w:rPr>
        <w:t>, Dubai Silicon Oasis</w:t>
      </w:r>
    </w:p>
    <w:p w14:paraId="736BA2FC" w14:textId="07EE23AF" w:rsidR="00623A3D" w:rsidRPr="008718B0" w:rsidRDefault="00623A3D" w:rsidP="00A235A4">
      <w:pPr>
        <w:pStyle w:val="NormlWeb"/>
        <w:numPr>
          <w:ilvl w:val="0"/>
          <w:numId w:val="21"/>
        </w:numPr>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Registration number</w:t>
      </w:r>
      <w:r w:rsidR="008E21BF" w:rsidRPr="008718B0">
        <w:rPr>
          <w:color w:val="000000" w:themeColor="text1"/>
          <w:sz w:val="22"/>
          <w:szCs w:val="22"/>
          <w:shd w:val="clear" w:color="auto" w:fill="FFFFFF"/>
          <w:lang w:val="en"/>
        </w:rPr>
        <w:t>:</w:t>
      </w:r>
      <w:r w:rsidRPr="008718B0">
        <w:rPr>
          <w:color w:val="000000" w:themeColor="text1"/>
          <w:sz w:val="22"/>
          <w:szCs w:val="22"/>
          <w:shd w:val="clear" w:color="auto" w:fill="FFFFFF"/>
          <w:lang w:val="en"/>
        </w:rPr>
        <w:t xml:space="preserve"> </w:t>
      </w:r>
      <w:r w:rsidRPr="008718B0">
        <w:rPr>
          <w:color w:val="000000" w:themeColor="text1"/>
          <w:sz w:val="22"/>
          <w:szCs w:val="22"/>
          <w:shd w:val="clear" w:color="auto" w:fill="FFFFFF"/>
        </w:rPr>
        <w:t>DSO-FZCO-14378</w:t>
      </w:r>
    </w:p>
    <w:p w14:paraId="3DB0D50F" w14:textId="07B575E8" w:rsidR="008E21BF" w:rsidRPr="008718B0" w:rsidRDefault="00623A3D" w:rsidP="00A235A4">
      <w:pPr>
        <w:pStyle w:val="NormlWeb"/>
        <w:numPr>
          <w:ilvl w:val="0"/>
          <w:numId w:val="21"/>
        </w:numPr>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rPr>
        <w:t xml:space="preserve">Licence </w:t>
      </w:r>
      <w:proofErr w:type="spellStart"/>
      <w:r w:rsidRPr="008718B0">
        <w:rPr>
          <w:color w:val="000000" w:themeColor="text1"/>
          <w:sz w:val="22"/>
          <w:szCs w:val="22"/>
          <w:shd w:val="clear" w:color="auto" w:fill="FFFFFF"/>
        </w:rPr>
        <w:t>number</w:t>
      </w:r>
      <w:proofErr w:type="spellEnd"/>
      <w:r w:rsidRPr="008718B0">
        <w:rPr>
          <w:color w:val="000000" w:themeColor="text1"/>
          <w:sz w:val="22"/>
          <w:szCs w:val="22"/>
          <w:shd w:val="clear" w:color="auto" w:fill="FFFFFF"/>
        </w:rPr>
        <w:t xml:space="preserve">: 15669 </w:t>
      </w:r>
      <w:r w:rsidR="008E21BF" w:rsidRPr="008718B0">
        <w:rPr>
          <w:color w:val="000000" w:themeColor="text1"/>
          <w:sz w:val="22"/>
          <w:szCs w:val="22"/>
          <w:shd w:val="clear" w:color="auto" w:fill="FFFFFF"/>
          <w:lang w:val="en"/>
        </w:rPr>
        <w:t xml:space="preserve"> </w:t>
      </w:r>
    </w:p>
    <w:p w14:paraId="43EA7259" w14:textId="41262C49" w:rsidR="008E21BF" w:rsidRPr="008718B0" w:rsidRDefault="008E21BF" w:rsidP="00A235A4">
      <w:pPr>
        <w:pStyle w:val="Listaszerbekezds"/>
        <w:numPr>
          <w:ilvl w:val="0"/>
          <w:numId w:val="21"/>
        </w:numPr>
        <w:spacing w:before="120" w:after="120"/>
        <w:jc w:val="both"/>
        <w:rPr>
          <w:rFonts w:ascii="Times New Roman" w:eastAsia="Times New Roman" w:hAnsi="Times New Roman" w:cs="Times New Roman"/>
          <w:color w:val="000000" w:themeColor="text1"/>
        </w:rPr>
      </w:pPr>
      <w:r w:rsidRPr="008718B0">
        <w:rPr>
          <w:rFonts w:ascii="Times New Roman" w:hAnsi="Times New Roman" w:cs="Times New Roman"/>
          <w:color w:val="000000" w:themeColor="text1"/>
          <w:shd w:val="clear" w:color="auto" w:fill="FFFFFF"/>
          <w:lang w:val="en"/>
        </w:rPr>
        <w:t xml:space="preserve">Telephone: </w:t>
      </w:r>
      <w:r w:rsidR="00170FCE" w:rsidRPr="008718B0">
        <w:rPr>
          <w:rFonts w:ascii="Times New Roman" w:hAnsi="Times New Roman" w:cs="Times New Roman"/>
          <w:color w:val="000000" w:themeColor="text1"/>
          <w:lang w:val="en"/>
        </w:rPr>
        <w:t>0562438052</w:t>
      </w:r>
    </w:p>
    <w:p w14:paraId="14318844" w14:textId="72FCBB38" w:rsidR="008E21BF" w:rsidRPr="008718B0" w:rsidRDefault="008E21BF" w:rsidP="00A235A4">
      <w:pPr>
        <w:pStyle w:val="NormlWeb"/>
        <w:numPr>
          <w:ilvl w:val="0"/>
          <w:numId w:val="21"/>
        </w:numPr>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 xml:space="preserve">Website: </w:t>
      </w:r>
      <w:hyperlink r:id="rId6" w:history="1">
        <w:r w:rsidR="00623A3D" w:rsidRPr="008718B0">
          <w:rPr>
            <w:rStyle w:val="Hiperhivatkozs"/>
            <w:sz w:val="22"/>
            <w:szCs w:val="22"/>
            <w:shd w:val="clear" w:color="auto" w:fill="FFFFFF"/>
            <w:lang w:val="en"/>
          </w:rPr>
          <w:t>https://www.evainvestment.eu/</w:t>
        </w:r>
      </w:hyperlink>
      <w:r w:rsidR="00623A3D" w:rsidRPr="008718B0">
        <w:rPr>
          <w:color w:val="000000" w:themeColor="text1"/>
          <w:sz w:val="22"/>
          <w:szCs w:val="22"/>
          <w:shd w:val="clear" w:color="auto" w:fill="FFFFFF"/>
          <w:lang w:val="en"/>
        </w:rPr>
        <w:t xml:space="preserve"> </w:t>
      </w:r>
    </w:p>
    <w:p w14:paraId="4B455A91" w14:textId="19C3C09B" w:rsidR="008E21BF" w:rsidRPr="008718B0" w:rsidRDefault="008E21BF" w:rsidP="00A235A4">
      <w:pPr>
        <w:pStyle w:val="NormlWeb"/>
        <w:numPr>
          <w:ilvl w:val="0"/>
          <w:numId w:val="21"/>
        </w:numPr>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 xml:space="preserve">Electronic mail address: </w:t>
      </w:r>
      <w:hyperlink r:id="rId7" w:history="1">
        <w:r w:rsidR="00623A3D" w:rsidRPr="008718B0">
          <w:rPr>
            <w:rStyle w:val="Hiperhivatkozs"/>
          </w:rPr>
          <w:t>office@evainvestment.eu</w:t>
        </w:r>
      </w:hyperlink>
      <w:r w:rsidR="00623A3D" w:rsidRPr="008718B0">
        <w:t xml:space="preserve"> </w:t>
      </w:r>
    </w:p>
    <w:p w14:paraId="3EB0398D" w14:textId="370311FC" w:rsidR="008E21BF" w:rsidRPr="008718B0" w:rsidRDefault="008E21BF" w:rsidP="00A235A4">
      <w:pPr>
        <w:pStyle w:val="NormlWeb"/>
        <w:numPr>
          <w:ilvl w:val="0"/>
          <w:numId w:val="21"/>
        </w:numPr>
        <w:spacing w:before="120" w:beforeAutospacing="0" w:after="120" w:afterAutospacing="0"/>
        <w:jc w:val="both"/>
        <w:rPr>
          <w:color w:val="000000" w:themeColor="text1"/>
          <w:sz w:val="22"/>
          <w:szCs w:val="22"/>
        </w:rPr>
      </w:pPr>
      <w:r w:rsidRPr="008718B0">
        <w:rPr>
          <w:color w:val="000000" w:themeColor="text1"/>
          <w:sz w:val="22"/>
          <w:szCs w:val="22"/>
          <w:shd w:val="clear" w:color="auto" w:fill="FFFFFF"/>
          <w:lang w:val="en"/>
        </w:rPr>
        <w:t xml:space="preserve">Person in charge: </w:t>
      </w:r>
      <w:r w:rsidR="00623A3D" w:rsidRPr="008718B0">
        <w:rPr>
          <w:color w:val="000000" w:themeColor="text1"/>
          <w:sz w:val="22"/>
          <w:szCs w:val="22"/>
          <w:shd w:val="clear" w:color="auto" w:fill="FFFFFF"/>
          <w:lang w:val="en"/>
        </w:rPr>
        <w:t>Éva Szabó, board member</w:t>
      </w:r>
    </w:p>
    <w:p w14:paraId="5AC80F39" w14:textId="77777777" w:rsidR="00C871F0" w:rsidRPr="008718B0" w:rsidRDefault="00C871F0" w:rsidP="00A235A4">
      <w:pPr>
        <w:pStyle w:val="NormlWeb"/>
        <w:spacing w:before="120" w:beforeAutospacing="0" w:after="120" w:afterAutospacing="0"/>
        <w:ind w:left="720"/>
        <w:jc w:val="both"/>
        <w:rPr>
          <w:color w:val="000000" w:themeColor="text1"/>
          <w:sz w:val="22"/>
          <w:szCs w:val="22"/>
        </w:rPr>
      </w:pPr>
    </w:p>
    <w:p w14:paraId="3E6BA260" w14:textId="77777777" w:rsidR="00B5575F" w:rsidRPr="008718B0" w:rsidRDefault="00B5575F" w:rsidP="00A235A4">
      <w:pPr>
        <w:pStyle w:val="NormlWeb"/>
        <w:numPr>
          <w:ilvl w:val="0"/>
          <w:numId w:val="22"/>
        </w:numPr>
        <w:spacing w:before="120" w:beforeAutospacing="0" w:after="120" w:afterAutospacing="0"/>
        <w:jc w:val="both"/>
        <w:rPr>
          <w:rStyle w:val="Kiemels2"/>
          <w:color w:val="000000" w:themeColor="text1"/>
          <w:sz w:val="22"/>
          <w:szCs w:val="22"/>
          <w:u w:val="single"/>
        </w:rPr>
      </w:pPr>
      <w:r w:rsidRPr="008718B0">
        <w:rPr>
          <w:rStyle w:val="Kiemels2"/>
          <w:color w:val="000000" w:themeColor="text1"/>
          <w:sz w:val="22"/>
          <w:szCs w:val="22"/>
          <w:u w:val="single"/>
          <w:lang w:val="en"/>
        </w:rPr>
        <w:t>Data Subjects</w:t>
      </w:r>
    </w:p>
    <w:p w14:paraId="42410A0D" w14:textId="55DBADF1" w:rsidR="00B5575F" w:rsidRPr="008718B0" w:rsidRDefault="008C7937"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 xml:space="preserve">Natural </w:t>
      </w:r>
      <w:r w:rsidR="00623A3D" w:rsidRPr="008718B0">
        <w:rPr>
          <w:color w:val="000000" w:themeColor="text1"/>
          <w:sz w:val="22"/>
          <w:szCs w:val="22"/>
          <w:shd w:val="clear" w:color="auto" w:fill="FFFFFF"/>
          <w:lang w:val="en"/>
        </w:rPr>
        <w:t xml:space="preserve">and legal bodies </w:t>
      </w:r>
      <w:r w:rsidRPr="008718B0">
        <w:rPr>
          <w:color w:val="000000" w:themeColor="text1"/>
          <w:sz w:val="22"/>
          <w:szCs w:val="22"/>
          <w:shd w:val="clear" w:color="auto" w:fill="FFFFFF"/>
          <w:lang w:val="en"/>
        </w:rPr>
        <w:t>using paid services on the Data Controller's website.</w:t>
      </w:r>
    </w:p>
    <w:p w14:paraId="4B4777A0" w14:textId="77777777" w:rsidR="00C871F0" w:rsidRPr="008718B0" w:rsidRDefault="00C871F0" w:rsidP="00A235A4">
      <w:pPr>
        <w:pStyle w:val="NormlWeb"/>
        <w:spacing w:before="120" w:beforeAutospacing="0" w:after="120" w:afterAutospacing="0"/>
        <w:jc w:val="both"/>
        <w:rPr>
          <w:color w:val="000000" w:themeColor="text1"/>
          <w:sz w:val="22"/>
          <w:szCs w:val="22"/>
        </w:rPr>
      </w:pPr>
    </w:p>
    <w:p w14:paraId="542B7202" w14:textId="77777777" w:rsidR="00A46C9F" w:rsidRPr="008718B0" w:rsidRDefault="00A46C9F" w:rsidP="00A235A4">
      <w:pPr>
        <w:pStyle w:val="NormlWeb"/>
        <w:numPr>
          <w:ilvl w:val="0"/>
          <w:numId w:val="22"/>
        </w:numPr>
        <w:spacing w:before="120" w:beforeAutospacing="0" w:after="120" w:afterAutospacing="0"/>
        <w:jc w:val="both"/>
        <w:rPr>
          <w:rStyle w:val="Kiemels2"/>
          <w:color w:val="000000" w:themeColor="text1"/>
          <w:sz w:val="22"/>
          <w:szCs w:val="22"/>
          <w:u w:val="single"/>
        </w:rPr>
      </w:pPr>
      <w:r w:rsidRPr="008718B0">
        <w:rPr>
          <w:rStyle w:val="Kiemels2"/>
          <w:color w:val="000000" w:themeColor="text1"/>
          <w:sz w:val="22"/>
          <w:szCs w:val="22"/>
          <w:u w:val="single"/>
          <w:lang w:val="en"/>
        </w:rPr>
        <w:t>Data Processing Principles</w:t>
      </w:r>
    </w:p>
    <w:p w14:paraId="21C1960A" w14:textId="77777777" w:rsidR="0099034B" w:rsidRPr="008718B0" w:rsidRDefault="00695735" w:rsidP="00A235A4">
      <w:pPr>
        <w:pStyle w:val="NormlWeb"/>
        <w:spacing w:before="120" w:beforeAutospacing="0" w:after="120" w:afterAutospacing="0"/>
        <w:jc w:val="both"/>
        <w:rPr>
          <w:color w:val="000000" w:themeColor="text1"/>
          <w:sz w:val="22"/>
          <w:szCs w:val="22"/>
          <w:shd w:val="clear" w:color="auto" w:fill="FFFFFF"/>
        </w:rPr>
      </w:pPr>
      <w:proofErr w:type="gramStart"/>
      <w:r w:rsidRPr="008718B0">
        <w:rPr>
          <w:color w:val="000000" w:themeColor="text1"/>
          <w:sz w:val="22"/>
          <w:szCs w:val="22"/>
          <w:shd w:val="clear" w:color="auto" w:fill="FFFFFF"/>
          <w:lang w:val="en"/>
        </w:rPr>
        <w:t>In order to</w:t>
      </w:r>
      <w:proofErr w:type="gramEnd"/>
      <w:r w:rsidRPr="008718B0">
        <w:rPr>
          <w:color w:val="000000" w:themeColor="text1"/>
          <w:sz w:val="22"/>
          <w:szCs w:val="22"/>
          <w:shd w:val="clear" w:color="auto" w:fill="FFFFFF"/>
          <w:lang w:val="en"/>
        </w:rPr>
        <w:t xml:space="preserve"> protect and respect the privacy of the Data Subjects, the Data Controller processes data in accordance with the applicable laws in force, with particular respect to Act CXII of 2011 on the Right of Informational Self-Determination and Freedom of Information and Regulation 2016/679 of the European Parliament and the Council (27 April 2016) that is applicable from 25.05.2018. (General Data Protection Regulation, hereinafter: GDPR)</w:t>
      </w:r>
    </w:p>
    <w:p w14:paraId="61CD4DBD" w14:textId="77777777" w:rsidR="00A46C9F" w:rsidRPr="008718B0" w:rsidRDefault="00A46C9F" w:rsidP="00A235A4">
      <w:pPr>
        <w:pStyle w:val="NormlWeb"/>
        <w:numPr>
          <w:ilvl w:val="0"/>
          <w:numId w:val="22"/>
        </w:numPr>
        <w:spacing w:before="120" w:beforeAutospacing="0" w:after="120" w:afterAutospacing="0"/>
        <w:jc w:val="both"/>
        <w:rPr>
          <w:rStyle w:val="Kiemels2"/>
          <w:color w:val="000000" w:themeColor="text1"/>
          <w:sz w:val="22"/>
          <w:szCs w:val="22"/>
          <w:u w:val="single"/>
        </w:rPr>
      </w:pPr>
      <w:r w:rsidRPr="008718B0">
        <w:rPr>
          <w:rStyle w:val="Kiemels2"/>
          <w:color w:val="000000" w:themeColor="text1"/>
          <w:sz w:val="22"/>
          <w:szCs w:val="22"/>
          <w:u w:val="single"/>
          <w:lang w:val="en"/>
        </w:rPr>
        <w:t>Consent to Data Processing</w:t>
      </w:r>
    </w:p>
    <w:p w14:paraId="67031603" w14:textId="151811E5" w:rsidR="0099034B" w:rsidRPr="008718B0" w:rsidRDefault="008D0AA9"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lastRenderedPageBreak/>
        <w:t>The Data Subject must clearly consent to any data processing operation for which consent is required. The consent is to be given by the Data Subject upon registration, by confirming acceptance of the privacy notice.</w:t>
      </w:r>
      <w:r w:rsidR="00A235A4" w:rsidRPr="008718B0">
        <w:rPr>
          <w:color w:val="000000" w:themeColor="text1"/>
          <w:sz w:val="22"/>
          <w:szCs w:val="22"/>
          <w:shd w:val="clear" w:color="auto" w:fill="FFFFFF"/>
        </w:rPr>
        <w:t xml:space="preserve"> </w:t>
      </w:r>
      <w:r w:rsidR="0099034B" w:rsidRPr="008718B0">
        <w:rPr>
          <w:color w:val="000000" w:themeColor="text1"/>
          <w:sz w:val="22"/>
          <w:szCs w:val="22"/>
          <w:shd w:val="clear" w:color="auto" w:fill="FFFFFF"/>
          <w:lang w:val="en"/>
        </w:rPr>
        <w:t>The Data Controller disclaims any liability for damage or legal violations due to erroneous data or data entered intentionally incorrectly.</w:t>
      </w:r>
    </w:p>
    <w:p w14:paraId="14915A47" w14:textId="77777777" w:rsidR="00C871F0" w:rsidRPr="008718B0" w:rsidRDefault="00C871F0" w:rsidP="00A235A4">
      <w:pPr>
        <w:pStyle w:val="NormlWeb"/>
        <w:spacing w:before="120" w:beforeAutospacing="0" w:after="120" w:afterAutospacing="0"/>
        <w:jc w:val="both"/>
        <w:rPr>
          <w:bCs/>
          <w:color w:val="000000" w:themeColor="text1"/>
          <w:sz w:val="22"/>
          <w:szCs w:val="22"/>
          <w:shd w:val="clear" w:color="auto" w:fill="FFFFFF"/>
        </w:rPr>
      </w:pPr>
    </w:p>
    <w:p w14:paraId="7C705B69" w14:textId="77777777" w:rsidR="00B5575F" w:rsidRPr="008718B0" w:rsidRDefault="00B5575F" w:rsidP="00A235A4">
      <w:pPr>
        <w:pStyle w:val="NormlWeb"/>
        <w:numPr>
          <w:ilvl w:val="0"/>
          <w:numId w:val="22"/>
        </w:numPr>
        <w:spacing w:before="120" w:beforeAutospacing="0" w:after="120" w:afterAutospacing="0"/>
        <w:jc w:val="both"/>
        <w:rPr>
          <w:rStyle w:val="Kiemels2"/>
          <w:bCs w:val="0"/>
          <w:color w:val="000000" w:themeColor="text1"/>
          <w:sz w:val="22"/>
          <w:szCs w:val="22"/>
          <w:u w:val="single"/>
        </w:rPr>
      </w:pPr>
      <w:r w:rsidRPr="008718B0">
        <w:rPr>
          <w:rStyle w:val="Kiemels2"/>
          <w:color w:val="000000" w:themeColor="text1"/>
          <w:sz w:val="22"/>
          <w:szCs w:val="22"/>
          <w:u w:val="single"/>
          <w:lang w:val="en"/>
        </w:rPr>
        <w:t>Data Processor</w:t>
      </w:r>
    </w:p>
    <w:p w14:paraId="4D71E10F" w14:textId="67ACC752" w:rsidR="00623A3D" w:rsidRPr="008718B0" w:rsidRDefault="00B5575F"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The Data Controller engage a data processor during the provision of the service</w:t>
      </w:r>
      <w:r w:rsidR="00623A3D" w:rsidRPr="008718B0">
        <w:rPr>
          <w:color w:val="000000" w:themeColor="text1"/>
          <w:sz w:val="22"/>
          <w:szCs w:val="22"/>
          <w:shd w:val="clear" w:color="auto" w:fill="FFFFFF"/>
          <w:lang w:val="en"/>
        </w:rPr>
        <w:t xml:space="preserve"> to provide services to the end clients</w:t>
      </w:r>
      <w:r w:rsidRPr="008718B0">
        <w:rPr>
          <w:color w:val="000000" w:themeColor="text1"/>
          <w:sz w:val="22"/>
          <w:szCs w:val="22"/>
          <w:shd w:val="clear" w:color="auto" w:fill="FFFFFF"/>
          <w:lang w:val="en"/>
        </w:rPr>
        <w:t>.</w:t>
      </w:r>
    </w:p>
    <w:p w14:paraId="3FE175BD" w14:textId="77777777" w:rsidR="00623A3D" w:rsidRPr="008718B0" w:rsidRDefault="00623A3D" w:rsidP="00A235A4">
      <w:pPr>
        <w:pStyle w:val="NormlWeb"/>
        <w:spacing w:before="120" w:beforeAutospacing="0" w:after="120" w:afterAutospacing="0"/>
        <w:jc w:val="both"/>
        <w:rPr>
          <w:color w:val="000000" w:themeColor="text1"/>
          <w:sz w:val="22"/>
          <w:szCs w:val="22"/>
          <w:shd w:val="clear" w:color="auto" w:fill="FFFFFF"/>
          <w:lang w:val="en"/>
        </w:rPr>
      </w:pPr>
    </w:p>
    <w:p w14:paraId="167DA41A" w14:textId="1A113D39" w:rsidR="00623A3D" w:rsidRPr="008718B0" w:rsidRDefault="00623A3D"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 xml:space="preserve">Data </w:t>
      </w:r>
      <w:proofErr w:type="spellStart"/>
      <w:r w:rsidRPr="008718B0">
        <w:rPr>
          <w:color w:val="000000" w:themeColor="text1"/>
          <w:sz w:val="22"/>
          <w:szCs w:val="22"/>
          <w:shd w:val="clear" w:color="auto" w:fill="FFFFFF"/>
          <w:lang w:val="en"/>
        </w:rPr>
        <w:t>Subprocessors</w:t>
      </w:r>
      <w:proofErr w:type="spellEnd"/>
      <w:r w:rsidRPr="008718B0">
        <w:rPr>
          <w:color w:val="000000" w:themeColor="text1"/>
          <w:sz w:val="22"/>
          <w:szCs w:val="22"/>
          <w:shd w:val="clear" w:color="auto" w:fill="FFFFFF"/>
          <w:lang w:val="en"/>
        </w:rPr>
        <w:t>:</w:t>
      </w:r>
    </w:p>
    <w:p w14:paraId="0704771C" w14:textId="77777777" w:rsidR="00C871F0" w:rsidRPr="008718B0" w:rsidRDefault="00C871F0" w:rsidP="00A235A4">
      <w:pPr>
        <w:pStyle w:val="NormlWeb"/>
        <w:spacing w:before="120" w:beforeAutospacing="0" w:after="120" w:afterAutospacing="0"/>
        <w:jc w:val="both"/>
        <w:rPr>
          <w:color w:val="000000" w:themeColor="text1"/>
          <w:sz w:val="22"/>
          <w:szCs w:val="22"/>
        </w:rPr>
      </w:pPr>
    </w:p>
    <w:tbl>
      <w:tblPr>
        <w:tblStyle w:val="Rcsostblzat"/>
        <w:tblW w:w="10207" w:type="dxa"/>
        <w:tblInd w:w="-431" w:type="dxa"/>
        <w:tblLook w:val="04A0" w:firstRow="1" w:lastRow="0" w:firstColumn="1" w:lastColumn="0" w:noHBand="0" w:noVBand="1"/>
      </w:tblPr>
      <w:tblGrid>
        <w:gridCol w:w="2978"/>
        <w:gridCol w:w="7229"/>
      </w:tblGrid>
      <w:tr w:rsidR="00623A3D" w:rsidRPr="008718B0" w14:paraId="2B0AC823" w14:textId="77777777" w:rsidTr="008718B0">
        <w:tc>
          <w:tcPr>
            <w:tcW w:w="2978" w:type="dxa"/>
            <w:shd w:val="pct10" w:color="auto" w:fill="auto"/>
            <w:vAlign w:val="center"/>
          </w:tcPr>
          <w:p w14:paraId="5B9142DF" w14:textId="77777777" w:rsidR="00623A3D" w:rsidRPr="008718B0" w:rsidRDefault="00623A3D" w:rsidP="000D0D78">
            <w:pPr>
              <w:pStyle w:val="NormlWeb"/>
              <w:spacing w:before="120" w:beforeAutospacing="0" w:after="120" w:afterAutospacing="0"/>
              <w:jc w:val="both"/>
              <w:rPr>
                <w:b/>
                <w:bCs/>
                <w:color w:val="000000" w:themeColor="text1"/>
                <w:sz w:val="22"/>
                <w:szCs w:val="22"/>
                <w:lang w:val="en"/>
              </w:rPr>
            </w:pPr>
            <w:r w:rsidRPr="008718B0">
              <w:rPr>
                <w:b/>
                <w:bCs/>
                <w:color w:val="000000" w:themeColor="text1"/>
                <w:sz w:val="22"/>
                <w:szCs w:val="22"/>
                <w:lang w:val="en"/>
              </w:rPr>
              <w:t>Purpose</w:t>
            </w:r>
          </w:p>
        </w:tc>
        <w:tc>
          <w:tcPr>
            <w:tcW w:w="7229" w:type="dxa"/>
            <w:shd w:val="pct10" w:color="auto" w:fill="auto"/>
            <w:vAlign w:val="center"/>
          </w:tcPr>
          <w:p w14:paraId="399BC5B7" w14:textId="57824398" w:rsidR="00623A3D" w:rsidRPr="008718B0" w:rsidRDefault="00623A3D" w:rsidP="000D0D78">
            <w:pPr>
              <w:pStyle w:val="NormlWeb"/>
              <w:spacing w:before="120" w:beforeAutospacing="0" w:after="120" w:afterAutospacing="0"/>
              <w:jc w:val="both"/>
              <w:rPr>
                <w:b/>
                <w:bCs/>
                <w:color w:val="000000" w:themeColor="text1"/>
                <w:sz w:val="22"/>
                <w:szCs w:val="22"/>
                <w:lang w:val="en"/>
              </w:rPr>
            </w:pPr>
            <w:r w:rsidRPr="008718B0">
              <w:rPr>
                <w:b/>
                <w:bCs/>
                <w:color w:val="000000" w:themeColor="text1"/>
                <w:sz w:val="22"/>
                <w:szCs w:val="22"/>
                <w:lang w:val="en"/>
              </w:rPr>
              <w:t xml:space="preserve">Data </w:t>
            </w:r>
            <w:proofErr w:type="spellStart"/>
            <w:r w:rsidRPr="008718B0">
              <w:rPr>
                <w:b/>
                <w:bCs/>
                <w:color w:val="000000" w:themeColor="text1"/>
                <w:sz w:val="22"/>
                <w:szCs w:val="22"/>
                <w:lang w:val="en"/>
              </w:rPr>
              <w:t>Subprocessor</w:t>
            </w:r>
            <w:proofErr w:type="spellEnd"/>
          </w:p>
        </w:tc>
      </w:tr>
      <w:tr w:rsidR="00623A3D" w:rsidRPr="008718B0" w14:paraId="313772DF" w14:textId="77777777" w:rsidTr="008718B0">
        <w:tc>
          <w:tcPr>
            <w:tcW w:w="2978" w:type="dxa"/>
            <w:vAlign w:val="center"/>
          </w:tcPr>
          <w:p w14:paraId="57ACBEFB" w14:textId="6C3508A3" w:rsidR="00623A3D" w:rsidRPr="008718B0" w:rsidRDefault="00623A3D" w:rsidP="000D0D78">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Server hosting and storage</w:t>
            </w:r>
            <w:r w:rsidR="00431965" w:rsidRPr="008718B0">
              <w:rPr>
                <w:color w:val="000000" w:themeColor="text1"/>
                <w:sz w:val="22"/>
                <w:szCs w:val="22"/>
                <w:lang w:val="en"/>
              </w:rPr>
              <w:t>, development and maintenance of the website</w:t>
            </w:r>
          </w:p>
        </w:tc>
        <w:tc>
          <w:tcPr>
            <w:tcW w:w="7229" w:type="dxa"/>
            <w:vAlign w:val="center"/>
          </w:tcPr>
          <w:p w14:paraId="19277BFA" w14:textId="1F9C2659" w:rsidR="00623A3D" w:rsidRPr="008718B0" w:rsidRDefault="00623A3D" w:rsidP="000D0D78">
            <w:pPr>
              <w:pStyle w:val="NormlWeb"/>
              <w:spacing w:before="120" w:beforeAutospacing="0" w:after="120" w:afterAutospacing="0"/>
              <w:ind w:left="11"/>
              <w:jc w:val="both"/>
              <w:rPr>
                <w:color w:val="000000" w:themeColor="text1"/>
                <w:sz w:val="22"/>
                <w:szCs w:val="22"/>
              </w:rPr>
            </w:pPr>
            <w:r w:rsidRPr="008718B0">
              <w:rPr>
                <w:color w:val="000000" w:themeColor="text1"/>
                <w:sz w:val="22"/>
                <w:szCs w:val="22"/>
                <w:lang w:val="en"/>
              </w:rPr>
              <w:t xml:space="preserve">WebOrigo </w:t>
            </w:r>
            <w:proofErr w:type="spellStart"/>
            <w:r w:rsidRPr="008718B0">
              <w:rPr>
                <w:color w:val="000000" w:themeColor="text1"/>
                <w:sz w:val="22"/>
                <w:szCs w:val="22"/>
                <w:lang w:val="en"/>
              </w:rPr>
              <w:t>Magyarország</w:t>
            </w:r>
            <w:proofErr w:type="spellEnd"/>
            <w:r w:rsidRPr="008718B0">
              <w:rPr>
                <w:color w:val="000000" w:themeColor="text1"/>
                <w:sz w:val="22"/>
                <w:szCs w:val="22"/>
                <w:lang w:val="en"/>
              </w:rPr>
              <w:t xml:space="preserve"> </w:t>
            </w:r>
            <w:proofErr w:type="spellStart"/>
            <w:r w:rsidRPr="008718B0">
              <w:rPr>
                <w:color w:val="000000" w:themeColor="text1"/>
                <w:sz w:val="22"/>
                <w:szCs w:val="22"/>
                <w:lang w:val="en"/>
              </w:rPr>
              <w:t>Zrt</w:t>
            </w:r>
            <w:proofErr w:type="spellEnd"/>
            <w:r w:rsidRPr="008718B0">
              <w:rPr>
                <w:color w:val="000000" w:themeColor="text1"/>
                <w:sz w:val="22"/>
                <w:szCs w:val="22"/>
                <w:lang w:val="en"/>
              </w:rPr>
              <w:t xml:space="preserve">. (2161 </w:t>
            </w:r>
            <w:proofErr w:type="spellStart"/>
            <w:r w:rsidRPr="008718B0">
              <w:rPr>
                <w:color w:val="000000" w:themeColor="text1"/>
                <w:sz w:val="22"/>
                <w:szCs w:val="22"/>
                <w:lang w:val="en"/>
              </w:rPr>
              <w:t>Csomád</w:t>
            </w:r>
            <w:proofErr w:type="spellEnd"/>
            <w:r w:rsidRPr="008718B0">
              <w:rPr>
                <w:color w:val="000000" w:themeColor="text1"/>
                <w:sz w:val="22"/>
                <w:szCs w:val="22"/>
                <w:lang w:val="en"/>
              </w:rPr>
              <w:t xml:space="preserve">, Szent István </w:t>
            </w:r>
            <w:proofErr w:type="spellStart"/>
            <w:r w:rsidRPr="008718B0">
              <w:rPr>
                <w:color w:val="000000" w:themeColor="text1"/>
                <w:sz w:val="22"/>
                <w:szCs w:val="22"/>
                <w:lang w:val="en"/>
              </w:rPr>
              <w:t>utca</w:t>
            </w:r>
            <w:proofErr w:type="spellEnd"/>
            <w:r w:rsidRPr="008718B0">
              <w:rPr>
                <w:color w:val="000000" w:themeColor="text1"/>
                <w:sz w:val="22"/>
                <w:szCs w:val="22"/>
                <w:lang w:val="en"/>
              </w:rPr>
              <w:t xml:space="preserve"> 48.</w:t>
            </w:r>
            <w:r w:rsidR="00431965" w:rsidRPr="008718B0">
              <w:rPr>
                <w:color w:val="000000" w:themeColor="text1"/>
                <w:sz w:val="22"/>
                <w:szCs w:val="22"/>
                <w:lang w:val="en"/>
              </w:rPr>
              <w:t>, Hungary</w:t>
            </w:r>
            <w:r w:rsidRPr="008718B0">
              <w:rPr>
                <w:color w:val="000000" w:themeColor="text1"/>
                <w:sz w:val="22"/>
                <w:szCs w:val="22"/>
                <w:lang w:val="en"/>
              </w:rPr>
              <w:t xml:space="preserve">)  </w:t>
            </w:r>
          </w:p>
        </w:tc>
      </w:tr>
      <w:tr w:rsidR="00A176D1" w:rsidRPr="008718B0" w14:paraId="54F04261" w14:textId="77777777" w:rsidTr="00623A3D">
        <w:tc>
          <w:tcPr>
            <w:tcW w:w="2978" w:type="dxa"/>
            <w:vAlign w:val="center"/>
          </w:tcPr>
          <w:p w14:paraId="019369CD" w14:textId="58EE77DD" w:rsidR="00A176D1" w:rsidRPr="008718B0" w:rsidRDefault="00A176D1" w:rsidP="000D0D78">
            <w:pPr>
              <w:pStyle w:val="NormlWeb"/>
              <w:spacing w:before="120" w:beforeAutospacing="0" w:after="120" w:afterAutospacing="0"/>
              <w:jc w:val="both"/>
              <w:rPr>
                <w:color w:val="000000" w:themeColor="text1"/>
                <w:sz w:val="22"/>
                <w:szCs w:val="22"/>
                <w:lang w:val="en"/>
              </w:rPr>
            </w:pPr>
            <w:r w:rsidRPr="008718B0">
              <w:rPr>
                <w:color w:val="000000" w:themeColor="text1"/>
                <w:sz w:val="22"/>
                <w:szCs w:val="22"/>
                <w:lang w:val="en"/>
              </w:rPr>
              <w:t>Analytics</w:t>
            </w:r>
            <w:r w:rsidR="00431965" w:rsidRPr="008718B0">
              <w:rPr>
                <w:color w:val="000000" w:themeColor="text1"/>
                <w:sz w:val="22"/>
                <w:szCs w:val="22"/>
                <w:lang w:val="en"/>
              </w:rPr>
              <w:t xml:space="preserve"> Services (Google Analytics)</w:t>
            </w:r>
          </w:p>
        </w:tc>
        <w:tc>
          <w:tcPr>
            <w:tcW w:w="7229" w:type="dxa"/>
            <w:vAlign w:val="center"/>
          </w:tcPr>
          <w:p w14:paraId="0F4E967F" w14:textId="3361A489" w:rsidR="00A176D1" w:rsidRPr="008718B0" w:rsidRDefault="00A176D1" w:rsidP="000D0D78">
            <w:pPr>
              <w:pStyle w:val="NormlWeb"/>
              <w:spacing w:before="120" w:beforeAutospacing="0" w:after="120" w:afterAutospacing="0"/>
              <w:ind w:left="11"/>
              <w:jc w:val="both"/>
              <w:rPr>
                <w:color w:val="000000" w:themeColor="text1"/>
                <w:sz w:val="22"/>
                <w:szCs w:val="22"/>
                <w:lang w:val="en"/>
              </w:rPr>
            </w:pPr>
            <w:r w:rsidRPr="008718B0">
              <w:rPr>
                <w:color w:val="000000" w:themeColor="text1"/>
                <w:sz w:val="22"/>
                <w:szCs w:val="22"/>
                <w:lang w:val="en"/>
              </w:rPr>
              <w:t>Google Ireland Ltd.</w:t>
            </w:r>
            <w:r w:rsidR="00431965" w:rsidRPr="008718B0">
              <w:rPr>
                <w:color w:val="000000" w:themeColor="text1"/>
                <w:sz w:val="22"/>
                <w:szCs w:val="22"/>
                <w:lang w:val="en"/>
              </w:rPr>
              <w:t xml:space="preserve"> (Gordon House, Barrow Street, Dublin 4, Ireland)</w:t>
            </w:r>
          </w:p>
        </w:tc>
      </w:tr>
      <w:tr w:rsidR="00A176D1" w:rsidRPr="008718B0" w14:paraId="1C82D061" w14:textId="77777777" w:rsidTr="00623A3D">
        <w:tc>
          <w:tcPr>
            <w:tcW w:w="2978" w:type="dxa"/>
            <w:vAlign w:val="center"/>
          </w:tcPr>
          <w:p w14:paraId="60A4E966" w14:textId="15E56804" w:rsidR="00A176D1" w:rsidRPr="008718B0" w:rsidRDefault="00431965" w:rsidP="000D0D78">
            <w:pPr>
              <w:pStyle w:val="NormlWeb"/>
              <w:spacing w:before="120" w:beforeAutospacing="0" w:after="120" w:afterAutospacing="0"/>
              <w:jc w:val="both"/>
              <w:rPr>
                <w:color w:val="000000" w:themeColor="text1"/>
                <w:sz w:val="22"/>
                <w:szCs w:val="22"/>
                <w:lang w:val="en"/>
              </w:rPr>
            </w:pPr>
            <w:r w:rsidRPr="008718B0">
              <w:rPr>
                <w:color w:val="000000" w:themeColor="text1"/>
                <w:sz w:val="22"/>
                <w:szCs w:val="22"/>
                <w:lang w:val="en"/>
              </w:rPr>
              <w:t>Analytics Services (Microsoft Clarity)</w:t>
            </w:r>
          </w:p>
        </w:tc>
        <w:tc>
          <w:tcPr>
            <w:tcW w:w="7229" w:type="dxa"/>
            <w:vAlign w:val="center"/>
          </w:tcPr>
          <w:p w14:paraId="319AD8FB" w14:textId="789294F7" w:rsidR="00A176D1" w:rsidRPr="008718B0" w:rsidRDefault="00A176D1" w:rsidP="000D0D78">
            <w:pPr>
              <w:pStyle w:val="NormlWeb"/>
              <w:spacing w:before="120" w:beforeAutospacing="0" w:after="120" w:afterAutospacing="0"/>
              <w:ind w:left="11"/>
              <w:jc w:val="both"/>
              <w:rPr>
                <w:color w:val="000000" w:themeColor="text1"/>
                <w:sz w:val="22"/>
                <w:szCs w:val="22"/>
                <w:lang w:val="en"/>
              </w:rPr>
            </w:pPr>
            <w:r w:rsidRPr="008718B0">
              <w:rPr>
                <w:color w:val="000000" w:themeColor="text1"/>
                <w:sz w:val="22"/>
                <w:szCs w:val="22"/>
                <w:lang w:val="en"/>
              </w:rPr>
              <w:t>Microsoft EMEA Ltd.</w:t>
            </w:r>
            <w:r w:rsidR="00431965" w:rsidRPr="008718B0">
              <w:rPr>
                <w:color w:val="000000" w:themeColor="text1"/>
                <w:sz w:val="22"/>
                <w:szCs w:val="22"/>
                <w:lang w:val="en"/>
              </w:rPr>
              <w:t xml:space="preserve"> (South County Business Park, One Microsoft Place, </w:t>
            </w:r>
            <w:proofErr w:type="spellStart"/>
            <w:r w:rsidR="00431965" w:rsidRPr="008718B0">
              <w:rPr>
                <w:color w:val="000000" w:themeColor="text1"/>
                <w:sz w:val="22"/>
                <w:szCs w:val="22"/>
                <w:lang w:val="en"/>
              </w:rPr>
              <w:t>Carmanhall</w:t>
            </w:r>
            <w:proofErr w:type="spellEnd"/>
            <w:r w:rsidR="00431965" w:rsidRPr="008718B0">
              <w:rPr>
                <w:color w:val="000000" w:themeColor="text1"/>
                <w:sz w:val="22"/>
                <w:szCs w:val="22"/>
                <w:lang w:val="en"/>
              </w:rPr>
              <w:t xml:space="preserve"> </w:t>
            </w:r>
            <w:proofErr w:type="gramStart"/>
            <w:r w:rsidR="00431965" w:rsidRPr="008718B0">
              <w:rPr>
                <w:color w:val="000000" w:themeColor="text1"/>
                <w:sz w:val="22"/>
                <w:szCs w:val="22"/>
                <w:lang w:val="en"/>
              </w:rPr>
              <w:t>And</w:t>
            </w:r>
            <w:proofErr w:type="gramEnd"/>
            <w:r w:rsidR="00431965" w:rsidRPr="008718B0">
              <w:rPr>
                <w:color w:val="000000" w:themeColor="text1"/>
                <w:sz w:val="22"/>
                <w:szCs w:val="22"/>
                <w:lang w:val="en"/>
              </w:rPr>
              <w:t xml:space="preserve"> </w:t>
            </w:r>
            <w:proofErr w:type="spellStart"/>
            <w:r w:rsidR="00431965" w:rsidRPr="008718B0">
              <w:rPr>
                <w:color w:val="000000" w:themeColor="text1"/>
                <w:sz w:val="22"/>
                <w:szCs w:val="22"/>
                <w:lang w:val="en"/>
              </w:rPr>
              <w:t>Leopardstown</w:t>
            </w:r>
            <w:proofErr w:type="spellEnd"/>
            <w:r w:rsidR="00431965" w:rsidRPr="008718B0">
              <w:rPr>
                <w:color w:val="000000" w:themeColor="text1"/>
                <w:sz w:val="22"/>
                <w:szCs w:val="22"/>
                <w:lang w:val="en"/>
              </w:rPr>
              <w:t>, Dublin, D18 P521, Ireland)</w:t>
            </w:r>
          </w:p>
        </w:tc>
      </w:tr>
    </w:tbl>
    <w:p w14:paraId="6285796F" w14:textId="77777777" w:rsidR="00623A3D" w:rsidRPr="008718B0" w:rsidRDefault="00623A3D" w:rsidP="00A235A4">
      <w:pPr>
        <w:pStyle w:val="NormlWeb"/>
        <w:spacing w:before="120" w:beforeAutospacing="0" w:after="120" w:afterAutospacing="0"/>
        <w:jc w:val="both"/>
        <w:rPr>
          <w:color w:val="000000" w:themeColor="text1"/>
          <w:sz w:val="22"/>
          <w:szCs w:val="22"/>
        </w:rPr>
      </w:pPr>
    </w:p>
    <w:p w14:paraId="436617D6" w14:textId="77777777" w:rsidR="00A46C9F" w:rsidRPr="008718B0" w:rsidRDefault="00A46C9F" w:rsidP="00A235A4">
      <w:pPr>
        <w:pStyle w:val="NormlWeb"/>
        <w:numPr>
          <w:ilvl w:val="0"/>
          <w:numId w:val="22"/>
        </w:numPr>
        <w:spacing w:before="120" w:beforeAutospacing="0" w:after="120" w:afterAutospacing="0"/>
        <w:jc w:val="both"/>
        <w:rPr>
          <w:rStyle w:val="Kiemels2"/>
          <w:color w:val="000000" w:themeColor="text1"/>
          <w:sz w:val="22"/>
          <w:szCs w:val="22"/>
          <w:u w:val="single"/>
        </w:rPr>
      </w:pPr>
      <w:r w:rsidRPr="008718B0">
        <w:rPr>
          <w:rStyle w:val="Kiemels2"/>
          <w:color w:val="000000" w:themeColor="text1"/>
          <w:sz w:val="22"/>
          <w:szCs w:val="22"/>
          <w:u w:val="single"/>
          <w:lang w:val="en"/>
        </w:rPr>
        <w:t>Data Security</w:t>
      </w:r>
    </w:p>
    <w:p w14:paraId="3EAD4EAD" w14:textId="472DF283" w:rsidR="00CF5B8C" w:rsidRPr="008718B0" w:rsidRDefault="00A46C9F"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 xml:space="preserve">The Data Controller takes all necessary technical and </w:t>
      </w:r>
      <w:r w:rsidR="00C871F0" w:rsidRPr="008718B0">
        <w:rPr>
          <w:color w:val="000000" w:themeColor="text1"/>
          <w:sz w:val="22"/>
          <w:szCs w:val="22"/>
          <w:shd w:val="clear" w:color="auto" w:fill="FFFFFF"/>
          <w:lang w:val="en"/>
        </w:rPr>
        <w:t>organizational</w:t>
      </w:r>
      <w:r w:rsidRPr="008718B0">
        <w:rPr>
          <w:color w:val="000000" w:themeColor="text1"/>
          <w:sz w:val="22"/>
          <w:szCs w:val="22"/>
          <w:shd w:val="clear" w:color="auto" w:fill="FFFFFF"/>
          <w:lang w:val="en"/>
        </w:rPr>
        <w:t xml:space="preserve"> measures </w:t>
      </w:r>
      <w:proofErr w:type="gramStart"/>
      <w:r w:rsidRPr="008718B0">
        <w:rPr>
          <w:color w:val="000000" w:themeColor="text1"/>
          <w:sz w:val="22"/>
          <w:szCs w:val="22"/>
          <w:shd w:val="clear" w:color="auto" w:fill="FFFFFF"/>
          <w:lang w:val="en"/>
        </w:rPr>
        <w:t>in order to</w:t>
      </w:r>
      <w:proofErr w:type="gramEnd"/>
      <w:r w:rsidRPr="008718B0">
        <w:rPr>
          <w:color w:val="000000" w:themeColor="text1"/>
          <w:sz w:val="22"/>
          <w:szCs w:val="22"/>
          <w:shd w:val="clear" w:color="auto" w:fill="FFFFFF"/>
          <w:lang w:val="en"/>
        </w:rPr>
        <w:t xml:space="preserve"> ensure the security of the personal data provided during the entire data processing operation. During data processing, the Data Controller stores personal data in electronic form exclusively on its own internal servers. The Data Controller does not receive </w:t>
      </w:r>
      <w:r w:rsidR="00C871F0" w:rsidRPr="008718B0">
        <w:rPr>
          <w:color w:val="000000" w:themeColor="text1"/>
          <w:sz w:val="22"/>
          <w:szCs w:val="22"/>
          <w:shd w:val="clear" w:color="auto" w:fill="FFFFFF"/>
          <w:lang w:val="en"/>
        </w:rPr>
        <w:t>authorization</w:t>
      </w:r>
      <w:r w:rsidRPr="008718B0">
        <w:rPr>
          <w:color w:val="000000" w:themeColor="text1"/>
          <w:sz w:val="22"/>
          <w:szCs w:val="22"/>
          <w:shd w:val="clear" w:color="auto" w:fill="FFFFFF"/>
          <w:lang w:val="en"/>
        </w:rPr>
        <w:t xml:space="preserve"> or access to the Data Subject's portfolio in any manner.</w:t>
      </w:r>
    </w:p>
    <w:p w14:paraId="2359709C" w14:textId="77777777" w:rsidR="00C871F0" w:rsidRPr="008718B0" w:rsidRDefault="00C871F0" w:rsidP="00A235A4">
      <w:pPr>
        <w:pStyle w:val="NormlWeb"/>
        <w:spacing w:before="120" w:beforeAutospacing="0" w:after="120" w:afterAutospacing="0"/>
        <w:jc w:val="both"/>
        <w:rPr>
          <w:color w:val="000000" w:themeColor="text1"/>
          <w:sz w:val="22"/>
          <w:szCs w:val="22"/>
          <w:shd w:val="clear" w:color="auto" w:fill="FFFFFF"/>
        </w:rPr>
      </w:pPr>
    </w:p>
    <w:p w14:paraId="19B005D6" w14:textId="77777777" w:rsidR="00B5575F" w:rsidRPr="008718B0" w:rsidRDefault="00B5575F" w:rsidP="00A235A4">
      <w:pPr>
        <w:pStyle w:val="NormlWeb"/>
        <w:numPr>
          <w:ilvl w:val="0"/>
          <w:numId w:val="22"/>
        </w:numPr>
        <w:spacing w:before="120" w:beforeAutospacing="0" w:after="120" w:afterAutospacing="0"/>
        <w:jc w:val="both"/>
        <w:rPr>
          <w:rStyle w:val="Kiemels2"/>
          <w:bCs w:val="0"/>
          <w:color w:val="000000" w:themeColor="text1"/>
          <w:sz w:val="22"/>
          <w:szCs w:val="22"/>
          <w:u w:val="single"/>
        </w:rPr>
      </w:pPr>
      <w:r w:rsidRPr="008718B0">
        <w:rPr>
          <w:rStyle w:val="Kiemels2"/>
          <w:color w:val="000000" w:themeColor="text1"/>
          <w:sz w:val="22"/>
          <w:szCs w:val="22"/>
          <w:u w:val="single"/>
          <w:lang w:val="en"/>
        </w:rPr>
        <w:t>Data Processing Operations</w:t>
      </w:r>
    </w:p>
    <w:p w14:paraId="30589A91" w14:textId="522E6F36" w:rsidR="00C871F0" w:rsidRPr="008718B0" w:rsidRDefault="00150FEF"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 xml:space="preserve">No profiling takes place during the processing of contact details. No automated decision-making or joint data processing takes place in any case, and the Data Controller does not transmit the data to third countries. </w:t>
      </w:r>
    </w:p>
    <w:p w14:paraId="7BB4DA68" w14:textId="77777777" w:rsidR="0036541F" w:rsidRPr="008718B0" w:rsidRDefault="00812EAF"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 xml:space="preserve">During the processing of data subject to registration, the Data Controller performs profiling </w:t>
      </w:r>
      <w:proofErr w:type="gramStart"/>
      <w:r w:rsidRPr="008718B0">
        <w:rPr>
          <w:color w:val="000000" w:themeColor="text1"/>
          <w:sz w:val="22"/>
          <w:szCs w:val="22"/>
          <w:shd w:val="clear" w:color="auto" w:fill="FFFFFF"/>
          <w:lang w:val="en"/>
        </w:rPr>
        <w:t>in order to</w:t>
      </w:r>
      <w:proofErr w:type="gramEnd"/>
      <w:r w:rsidRPr="008718B0">
        <w:rPr>
          <w:color w:val="000000" w:themeColor="text1"/>
          <w:sz w:val="22"/>
          <w:szCs w:val="22"/>
          <w:shd w:val="clear" w:color="auto" w:fill="FFFFFF"/>
          <w:lang w:val="en"/>
        </w:rPr>
        <w:t xml:space="preserve"> offer the Data Subject a strategy that best suits his/her investment attitude and portfolio. Automated decision-making does not take place because accepting the recommendations of the system is at the Data Subject's sole discretion.</w:t>
      </w:r>
    </w:p>
    <w:p w14:paraId="642BBD31" w14:textId="77777777" w:rsidR="00593DAC" w:rsidRPr="008718B0" w:rsidRDefault="00593DAC" w:rsidP="00A235A4">
      <w:pPr>
        <w:pStyle w:val="NormlWeb"/>
        <w:numPr>
          <w:ilvl w:val="0"/>
          <w:numId w:val="12"/>
        </w:numPr>
        <w:spacing w:before="120" w:beforeAutospacing="0" w:after="120" w:afterAutospacing="0"/>
        <w:ind w:left="1077"/>
        <w:jc w:val="both"/>
        <w:rPr>
          <w:b/>
          <w:bCs/>
          <w:color w:val="000000" w:themeColor="text1"/>
          <w:sz w:val="22"/>
          <w:szCs w:val="22"/>
          <w:shd w:val="clear" w:color="auto" w:fill="FFFFFF"/>
        </w:rPr>
      </w:pPr>
      <w:r w:rsidRPr="008718B0">
        <w:rPr>
          <w:b/>
          <w:bCs/>
          <w:color w:val="000000" w:themeColor="text1"/>
          <w:sz w:val="22"/>
          <w:szCs w:val="22"/>
          <w:lang w:val="en"/>
        </w:rPr>
        <w:t>Contacts</w:t>
      </w:r>
    </w:p>
    <w:p w14:paraId="7D05F2EA" w14:textId="77777777" w:rsidR="00A46C9F" w:rsidRPr="008718B0" w:rsidRDefault="00A46C9F" w:rsidP="00A235A4">
      <w:pPr>
        <w:pStyle w:val="NormlWeb"/>
        <w:spacing w:before="120" w:beforeAutospacing="0" w:after="120" w:afterAutospacing="0"/>
        <w:jc w:val="both"/>
        <w:rPr>
          <w:bCs/>
          <w:color w:val="000000" w:themeColor="text1"/>
          <w:sz w:val="22"/>
          <w:szCs w:val="22"/>
          <w:shd w:val="clear" w:color="auto" w:fill="FFFFFF"/>
        </w:rPr>
      </w:pPr>
      <w:r w:rsidRPr="008718B0">
        <w:rPr>
          <w:color w:val="000000" w:themeColor="text1"/>
          <w:sz w:val="22"/>
          <w:szCs w:val="22"/>
          <w:shd w:val="clear" w:color="auto" w:fill="FFFFFF"/>
          <w:lang w:val="en"/>
        </w:rPr>
        <w:t>Data is processed solely to enable contact with the data subject or subscription to a newsletter, or to respond to a specific message.</w:t>
      </w:r>
    </w:p>
    <w:p w14:paraId="47D552A1" w14:textId="3261A9D2" w:rsidR="00A235A4" w:rsidRPr="008718B0" w:rsidRDefault="006E0149"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Contact details: Name, e-mail address</w:t>
      </w:r>
    </w:p>
    <w:p w14:paraId="08B104EA" w14:textId="77777777" w:rsidR="00A235A4" w:rsidRPr="008718B0" w:rsidRDefault="00A235A4" w:rsidP="00A235A4">
      <w:pPr>
        <w:pStyle w:val="NormlWeb"/>
        <w:spacing w:before="120" w:beforeAutospacing="0" w:after="120" w:afterAutospacing="0"/>
        <w:jc w:val="both"/>
        <w:rPr>
          <w:bCs/>
          <w:color w:val="000000" w:themeColor="text1"/>
          <w:sz w:val="22"/>
          <w:szCs w:val="22"/>
          <w:shd w:val="clear" w:color="auto" w:fill="FFFFFF"/>
        </w:rPr>
      </w:pPr>
    </w:p>
    <w:tbl>
      <w:tblPr>
        <w:tblStyle w:val="Rcsostblzat"/>
        <w:tblW w:w="10207" w:type="dxa"/>
        <w:tblInd w:w="-431" w:type="dxa"/>
        <w:tblLook w:val="04A0" w:firstRow="1" w:lastRow="0" w:firstColumn="1" w:lastColumn="0" w:noHBand="0" w:noVBand="1"/>
      </w:tblPr>
      <w:tblGrid>
        <w:gridCol w:w="2064"/>
        <w:gridCol w:w="1612"/>
        <w:gridCol w:w="1594"/>
        <w:gridCol w:w="1742"/>
        <w:gridCol w:w="1512"/>
        <w:gridCol w:w="1683"/>
      </w:tblGrid>
      <w:tr w:rsidR="00C871F0" w:rsidRPr="008718B0" w14:paraId="16C67228" w14:textId="77777777" w:rsidTr="00A235A4">
        <w:tc>
          <w:tcPr>
            <w:tcW w:w="2064" w:type="dxa"/>
            <w:shd w:val="pct10" w:color="auto" w:fill="auto"/>
            <w:vAlign w:val="center"/>
          </w:tcPr>
          <w:p w14:paraId="3752505D" w14:textId="77777777" w:rsidR="00593DAC" w:rsidRPr="008718B0" w:rsidRDefault="00593DAC" w:rsidP="00A235A4">
            <w:pPr>
              <w:pStyle w:val="NormlWeb"/>
              <w:spacing w:before="120" w:beforeAutospacing="0" w:after="120" w:afterAutospacing="0"/>
              <w:jc w:val="both"/>
              <w:rPr>
                <w:b/>
                <w:bCs/>
                <w:color w:val="000000" w:themeColor="text1"/>
                <w:sz w:val="22"/>
                <w:szCs w:val="22"/>
              </w:rPr>
            </w:pPr>
            <w:r w:rsidRPr="008718B0">
              <w:rPr>
                <w:b/>
                <w:bCs/>
                <w:color w:val="000000" w:themeColor="text1"/>
                <w:sz w:val="22"/>
                <w:szCs w:val="22"/>
                <w:lang w:val="en"/>
              </w:rPr>
              <w:lastRenderedPageBreak/>
              <w:t>Purpose</w:t>
            </w:r>
          </w:p>
        </w:tc>
        <w:tc>
          <w:tcPr>
            <w:tcW w:w="1612" w:type="dxa"/>
            <w:shd w:val="pct10" w:color="auto" w:fill="auto"/>
            <w:vAlign w:val="center"/>
          </w:tcPr>
          <w:p w14:paraId="6BE1E23D" w14:textId="77777777" w:rsidR="00FD2457" w:rsidRPr="008718B0" w:rsidRDefault="00593DAC" w:rsidP="00A235A4">
            <w:pPr>
              <w:pStyle w:val="NormlWeb"/>
              <w:spacing w:before="120" w:beforeAutospacing="0" w:after="120" w:afterAutospacing="0"/>
              <w:jc w:val="both"/>
              <w:rPr>
                <w:b/>
                <w:bCs/>
                <w:color w:val="000000" w:themeColor="text1"/>
                <w:sz w:val="22"/>
                <w:szCs w:val="22"/>
              </w:rPr>
            </w:pPr>
            <w:r w:rsidRPr="008718B0">
              <w:rPr>
                <w:b/>
                <w:bCs/>
                <w:color w:val="000000" w:themeColor="text1"/>
                <w:sz w:val="22"/>
                <w:szCs w:val="22"/>
                <w:lang w:val="en"/>
              </w:rPr>
              <w:t xml:space="preserve">Legal basis </w:t>
            </w:r>
          </w:p>
          <w:p w14:paraId="53B131EC" w14:textId="77777777" w:rsidR="00593DAC" w:rsidRPr="008718B0" w:rsidRDefault="000033AC" w:rsidP="00A235A4">
            <w:pPr>
              <w:pStyle w:val="NormlWeb"/>
              <w:spacing w:before="120" w:beforeAutospacing="0" w:after="120" w:afterAutospacing="0"/>
              <w:jc w:val="both"/>
              <w:rPr>
                <w:b/>
                <w:bCs/>
                <w:color w:val="000000" w:themeColor="text1"/>
                <w:sz w:val="22"/>
                <w:szCs w:val="22"/>
              </w:rPr>
            </w:pPr>
            <w:r w:rsidRPr="008718B0">
              <w:rPr>
                <w:b/>
                <w:bCs/>
                <w:color w:val="000000" w:themeColor="text1"/>
                <w:sz w:val="22"/>
                <w:szCs w:val="22"/>
                <w:lang w:val="en"/>
              </w:rPr>
              <w:t>Paragraph (1) of Article 6 of the GDPR</w:t>
            </w:r>
          </w:p>
        </w:tc>
        <w:tc>
          <w:tcPr>
            <w:tcW w:w="1594" w:type="dxa"/>
            <w:shd w:val="pct10" w:color="auto" w:fill="auto"/>
            <w:vAlign w:val="center"/>
          </w:tcPr>
          <w:p w14:paraId="4FD51D00" w14:textId="77777777" w:rsidR="00593DAC" w:rsidRPr="008718B0" w:rsidRDefault="00593DAC" w:rsidP="00A235A4">
            <w:pPr>
              <w:pStyle w:val="NormlWeb"/>
              <w:spacing w:before="120" w:beforeAutospacing="0" w:after="120" w:afterAutospacing="0"/>
              <w:jc w:val="both"/>
              <w:rPr>
                <w:b/>
                <w:bCs/>
                <w:color w:val="000000" w:themeColor="text1"/>
                <w:sz w:val="22"/>
                <w:szCs w:val="22"/>
              </w:rPr>
            </w:pPr>
            <w:r w:rsidRPr="008718B0">
              <w:rPr>
                <w:b/>
                <w:bCs/>
                <w:color w:val="000000" w:themeColor="text1"/>
                <w:sz w:val="22"/>
                <w:szCs w:val="22"/>
                <w:lang w:val="en"/>
              </w:rPr>
              <w:t>Data Subjects concerned</w:t>
            </w:r>
          </w:p>
        </w:tc>
        <w:tc>
          <w:tcPr>
            <w:tcW w:w="1742" w:type="dxa"/>
            <w:shd w:val="pct10" w:color="auto" w:fill="auto"/>
            <w:vAlign w:val="center"/>
          </w:tcPr>
          <w:p w14:paraId="3DC662EA" w14:textId="77777777" w:rsidR="00593DAC" w:rsidRPr="008718B0" w:rsidRDefault="00593DAC" w:rsidP="00A235A4">
            <w:pPr>
              <w:pStyle w:val="NormlWeb"/>
              <w:spacing w:before="120" w:beforeAutospacing="0" w:after="120" w:afterAutospacing="0"/>
              <w:jc w:val="both"/>
              <w:rPr>
                <w:b/>
                <w:bCs/>
                <w:color w:val="000000" w:themeColor="text1"/>
                <w:sz w:val="22"/>
                <w:szCs w:val="22"/>
              </w:rPr>
            </w:pPr>
            <w:r w:rsidRPr="008718B0">
              <w:rPr>
                <w:b/>
                <w:bCs/>
                <w:color w:val="000000" w:themeColor="text1"/>
                <w:sz w:val="22"/>
                <w:szCs w:val="22"/>
                <w:lang w:val="en"/>
              </w:rPr>
              <w:t>Data</w:t>
            </w:r>
          </w:p>
        </w:tc>
        <w:tc>
          <w:tcPr>
            <w:tcW w:w="1512" w:type="dxa"/>
            <w:shd w:val="pct10" w:color="auto" w:fill="auto"/>
            <w:vAlign w:val="center"/>
          </w:tcPr>
          <w:p w14:paraId="7ECD83A5" w14:textId="77777777" w:rsidR="00593DAC" w:rsidRPr="008718B0" w:rsidRDefault="00593DAC" w:rsidP="00A235A4">
            <w:pPr>
              <w:pStyle w:val="NormlWeb"/>
              <w:spacing w:before="120" w:beforeAutospacing="0" w:after="120" w:afterAutospacing="0"/>
              <w:jc w:val="both"/>
              <w:rPr>
                <w:b/>
                <w:bCs/>
                <w:color w:val="000000" w:themeColor="text1"/>
                <w:sz w:val="22"/>
                <w:szCs w:val="22"/>
              </w:rPr>
            </w:pPr>
            <w:r w:rsidRPr="008718B0">
              <w:rPr>
                <w:b/>
                <w:bCs/>
                <w:color w:val="000000" w:themeColor="text1"/>
                <w:sz w:val="22"/>
                <w:szCs w:val="22"/>
                <w:lang w:val="en"/>
              </w:rPr>
              <w:t>Retention period</w:t>
            </w:r>
          </w:p>
        </w:tc>
        <w:tc>
          <w:tcPr>
            <w:tcW w:w="1683" w:type="dxa"/>
            <w:shd w:val="pct10" w:color="auto" w:fill="auto"/>
            <w:vAlign w:val="center"/>
          </w:tcPr>
          <w:p w14:paraId="2D404C93" w14:textId="77777777" w:rsidR="00593DAC" w:rsidRPr="008718B0" w:rsidRDefault="00593DAC" w:rsidP="00A235A4">
            <w:pPr>
              <w:pStyle w:val="NormlWeb"/>
              <w:spacing w:before="120" w:beforeAutospacing="0" w:after="120" w:afterAutospacing="0"/>
              <w:jc w:val="both"/>
              <w:rPr>
                <w:b/>
                <w:bCs/>
                <w:color w:val="000000" w:themeColor="text1"/>
                <w:sz w:val="22"/>
                <w:szCs w:val="22"/>
              </w:rPr>
            </w:pPr>
            <w:r w:rsidRPr="008718B0">
              <w:rPr>
                <w:b/>
                <w:bCs/>
                <w:color w:val="000000" w:themeColor="text1"/>
                <w:sz w:val="22"/>
                <w:szCs w:val="22"/>
                <w:lang w:val="en"/>
              </w:rPr>
              <w:t>Source of data</w:t>
            </w:r>
          </w:p>
        </w:tc>
      </w:tr>
      <w:tr w:rsidR="00C871F0" w:rsidRPr="008718B0" w14:paraId="20CE9CE0" w14:textId="77777777" w:rsidTr="00A235A4">
        <w:tc>
          <w:tcPr>
            <w:tcW w:w="2064" w:type="dxa"/>
            <w:vAlign w:val="center"/>
          </w:tcPr>
          <w:p w14:paraId="56161856" w14:textId="77777777" w:rsidR="006E0149" w:rsidRPr="008718B0" w:rsidRDefault="006E0149"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Reply to a message</w:t>
            </w:r>
          </w:p>
        </w:tc>
        <w:tc>
          <w:tcPr>
            <w:tcW w:w="1612" w:type="dxa"/>
            <w:vMerge w:val="restart"/>
            <w:vAlign w:val="center"/>
          </w:tcPr>
          <w:p w14:paraId="28B070BD" w14:textId="77777777" w:rsidR="006E0149" w:rsidRPr="008718B0" w:rsidRDefault="006E0149" w:rsidP="00A235A4">
            <w:pPr>
              <w:pStyle w:val="NormlWeb"/>
              <w:spacing w:before="120" w:beforeAutospacing="0" w:after="120" w:afterAutospacing="0"/>
              <w:ind w:left="11"/>
              <w:jc w:val="both"/>
              <w:rPr>
                <w:color w:val="000000" w:themeColor="text1"/>
                <w:sz w:val="22"/>
                <w:szCs w:val="22"/>
              </w:rPr>
            </w:pPr>
            <w:r w:rsidRPr="008718B0">
              <w:rPr>
                <w:color w:val="000000" w:themeColor="text1"/>
                <w:sz w:val="22"/>
                <w:szCs w:val="22"/>
                <w:lang w:val="en"/>
              </w:rPr>
              <w:t>a) – the data subject’s consent</w:t>
            </w:r>
          </w:p>
        </w:tc>
        <w:tc>
          <w:tcPr>
            <w:tcW w:w="1594" w:type="dxa"/>
            <w:vAlign w:val="center"/>
          </w:tcPr>
          <w:p w14:paraId="13E1BFCE" w14:textId="77777777" w:rsidR="006E0149" w:rsidRPr="008718B0" w:rsidRDefault="006E0149"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Sender of the message</w:t>
            </w:r>
          </w:p>
        </w:tc>
        <w:tc>
          <w:tcPr>
            <w:tcW w:w="1742" w:type="dxa"/>
            <w:vMerge w:val="restart"/>
            <w:vAlign w:val="center"/>
          </w:tcPr>
          <w:p w14:paraId="5687FDB4" w14:textId="77777777" w:rsidR="006E0149" w:rsidRPr="008718B0" w:rsidRDefault="006E0149"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Contact details</w:t>
            </w:r>
          </w:p>
        </w:tc>
        <w:tc>
          <w:tcPr>
            <w:tcW w:w="1512" w:type="dxa"/>
            <w:vAlign w:val="center"/>
          </w:tcPr>
          <w:p w14:paraId="3A1CC140" w14:textId="21B1F29F" w:rsidR="006E0149" w:rsidRPr="008718B0" w:rsidRDefault="00A176D1"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2 years</w:t>
            </w:r>
          </w:p>
        </w:tc>
        <w:tc>
          <w:tcPr>
            <w:tcW w:w="1683" w:type="dxa"/>
            <w:vMerge w:val="restart"/>
            <w:vAlign w:val="center"/>
          </w:tcPr>
          <w:p w14:paraId="7C2E8C70" w14:textId="77777777" w:rsidR="006E0149" w:rsidRPr="008718B0" w:rsidRDefault="006E0149"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Subject</w:t>
            </w:r>
          </w:p>
        </w:tc>
      </w:tr>
      <w:tr w:rsidR="00C871F0" w:rsidRPr="008718B0" w14:paraId="2B90CB73" w14:textId="77777777" w:rsidTr="00A235A4">
        <w:tc>
          <w:tcPr>
            <w:tcW w:w="2064" w:type="dxa"/>
            <w:vAlign w:val="center"/>
          </w:tcPr>
          <w:p w14:paraId="3164FE57" w14:textId="77777777" w:rsidR="006E0149" w:rsidRPr="008718B0" w:rsidRDefault="006E0149"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Sending newsletters</w:t>
            </w:r>
          </w:p>
        </w:tc>
        <w:tc>
          <w:tcPr>
            <w:tcW w:w="1612" w:type="dxa"/>
            <w:vMerge/>
            <w:vAlign w:val="center"/>
          </w:tcPr>
          <w:p w14:paraId="0A7E1598" w14:textId="77777777" w:rsidR="006E0149" w:rsidRPr="008718B0" w:rsidRDefault="006E0149" w:rsidP="00A235A4">
            <w:pPr>
              <w:pStyle w:val="NormlWeb"/>
              <w:spacing w:before="120" w:beforeAutospacing="0" w:after="120" w:afterAutospacing="0"/>
              <w:ind w:left="11"/>
              <w:jc w:val="both"/>
              <w:rPr>
                <w:color w:val="000000" w:themeColor="text1"/>
                <w:sz w:val="22"/>
                <w:szCs w:val="22"/>
              </w:rPr>
            </w:pPr>
          </w:p>
        </w:tc>
        <w:tc>
          <w:tcPr>
            <w:tcW w:w="1594" w:type="dxa"/>
            <w:vAlign w:val="center"/>
          </w:tcPr>
          <w:p w14:paraId="220F0E5C" w14:textId="77777777" w:rsidR="006E0149" w:rsidRPr="008718B0" w:rsidRDefault="006E0149"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Subscriber to newsletter</w:t>
            </w:r>
          </w:p>
          <w:p w14:paraId="36A6A45B" w14:textId="77777777" w:rsidR="006E0149" w:rsidRPr="008718B0" w:rsidRDefault="006E0149" w:rsidP="00A235A4">
            <w:pPr>
              <w:pStyle w:val="NormlWeb"/>
              <w:spacing w:before="120" w:beforeAutospacing="0" w:after="120" w:afterAutospacing="0"/>
              <w:jc w:val="both"/>
              <w:rPr>
                <w:color w:val="000000" w:themeColor="text1"/>
                <w:sz w:val="22"/>
                <w:szCs w:val="22"/>
              </w:rPr>
            </w:pPr>
          </w:p>
        </w:tc>
        <w:tc>
          <w:tcPr>
            <w:tcW w:w="1742" w:type="dxa"/>
            <w:vMerge/>
            <w:vAlign w:val="center"/>
          </w:tcPr>
          <w:p w14:paraId="31FC1518" w14:textId="77777777" w:rsidR="006E0149" w:rsidRPr="008718B0" w:rsidRDefault="006E0149" w:rsidP="00A235A4">
            <w:pPr>
              <w:pStyle w:val="NormlWeb"/>
              <w:spacing w:before="120" w:beforeAutospacing="0" w:after="120" w:afterAutospacing="0"/>
              <w:jc w:val="both"/>
              <w:rPr>
                <w:color w:val="000000" w:themeColor="text1"/>
                <w:sz w:val="22"/>
                <w:szCs w:val="22"/>
              </w:rPr>
            </w:pPr>
          </w:p>
        </w:tc>
        <w:tc>
          <w:tcPr>
            <w:tcW w:w="1512" w:type="dxa"/>
            <w:vAlign w:val="center"/>
          </w:tcPr>
          <w:p w14:paraId="2EC211FC" w14:textId="42B58505" w:rsidR="006E0149" w:rsidRPr="008718B0" w:rsidRDefault="00A176D1"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Until w</w:t>
            </w:r>
            <w:r w:rsidR="006E0149" w:rsidRPr="008718B0">
              <w:rPr>
                <w:color w:val="000000" w:themeColor="text1"/>
                <w:sz w:val="22"/>
                <w:szCs w:val="22"/>
                <w:lang w:val="en"/>
              </w:rPr>
              <w:t xml:space="preserve">hen </w:t>
            </w:r>
            <w:proofErr w:type="spellStart"/>
            <w:r w:rsidR="006E0149" w:rsidRPr="008718B0">
              <w:rPr>
                <w:color w:val="000000" w:themeColor="text1"/>
                <w:sz w:val="22"/>
                <w:szCs w:val="22"/>
                <w:lang w:val="en"/>
              </w:rPr>
              <w:t>unsubscription</w:t>
            </w:r>
            <w:proofErr w:type="spellEnd"/>
            <w:r w:rsidR="006E0149" w:rsidRPr="008718B0">
              <w:rPr>
                <w:color w:val="000000" w:themeColor="text1"/>
                <w:sz w:val="22"/>
                <w:szCs w:val="22"/>
                <w:lang w:val="en"/>
              </w:rPr>
              <w:t xml:space="preserve"> is requested.</w:t>
            </w:r>
          </w:p>
        </w:tc>
        <w:tc>
          <w:tcPr>
            <w:tcW w:w="1683" w:type="dxa"/>
            <w:vMerge/>
            <w:vAlign w:val="center"/>
          </w:tcPr>
          <w:p w14:paraId="6638C956" w14:textId="77777777" w:rsidR="006E0149" w:rsidRPr="008718B0" w:rsidRDefault="006E0149" w:rsidP="00A235A4">
            <w:pPr>
              <w:pStyle w:val="NormlWeb"/>
              <w:spacing w:before="120" w:beforeAutospacing="0" w:after="120" w:afterAutospacing="0"/>
              <w:jc w:val="both"/>
              <w:rPr>
                <w:color w:val="000000" w:themeColor="text1"/>
                <w:sz w:val="22"/>
                <w:szCs w:val="22"/>
              </w:rPr>
            </w:pPr>
          </w:p>
        </w:tc>
      </w:tr>
      <w:tr w:rsidR="00C871F0" w:rsidRPr="008718B0" w14:paraId="57339781" w14:textId="77777777" w:rsidTr="00A235A4">
        <w:tc>
          <w:tcPr>
            <w:tcW w:w="2064" w:type="dxa"/>
            <w:shd w:val="pct10" w:color="auto" w:fill="auto"/>
            <w:vAlign w:val="center"/>
          </w:tcPr>
          <w:p w14:paraId="6CD9C122" w14:textId="77777777" w:rsidR="000033AC" w:rsidRPr="008718B0" w:rsidRDefault="000033AC"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Transmission of data:</w:t>
            </w:r>
          </w:p>
        </w:tc>
        <w:tc>
          <w:tcPr>
            <w:tcW w:w="8143" w:type="dxa"/>
            <w:gridSpan w:val="5"/>
            <w:vAlign w:val="center"/>
          </w:tcPr>
          <w:p w14:paraId="78D324B1" w14:textId="77777777" w:rsidR="000033AC" w:rsidRPr="008718B0" w:rsidRDefault="000033AC"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No data transfer occurs</w:t>
            </w:r>
          </w:p>
        </w:tc>
      </w:tr>
      <w:tr w:rsidR="00C871F0" w:rsidRPr="008718B0" w14:paraId="2990EA0D" w14:textId="77777777" w:rsidTr="00A235A4">
        <w:tc>
          <w:tcPr>
            <w:tcW w:w="2064" w:type="dxa"/>
            <w:shd w:val="pct10" w:color="auto" w:fill="auto"/>
            <w:vAlign w:val="center"/>
          </w:tcPr>
          <w:p w14:paraId="71481DC8" w14:textId="77777777" w:rsidR="000033AC" w:rsidRPr="008718B0" w:rsidRDefault="000033AC"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processor:</w:t>
            </w:r>
          </w:p>
        </w:tc>
        <w:tc>
          <w:tcPr>
            <w:tcW w:w="8143" w:type="dxa"/>
            <w:gridSpan w:val="5"/>
            <w:vAlign w:val="center"/>
          </w:tcPr>
          <w:p w14:paraId="76AB6D66" w14:textId="48BCE0B1" w:rsidR="000033AC" w:rsidRPr="008718B0" w:rsidRDefault="00A176D1"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Server provider</w:t>
            </w:r>
          </w:p>
        </w:tc>
      </w:tr>
      <w:tr w:rsidR="00C871F0" w:rsidRPr="008718B0" w14:paraId="307235DE" w14:textId="77777777" w:rsidTr="00A235A4">
        <w:tc>
          <w:tcPr>
            <w:tcW w:w="2064" w:type="dxa"/>
            <w:shd w:val="pct10" w:color="auto" w:fill="auto"/>
            <w:vAlign w:val="center"/>
          </w:tcPr>
          <w:p w14:paraId="376FC246" w14:textId="77777777" w:rsidR="007047A8" w:rsidRPr="008718B0" w:rsidRDefault="007047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Rights of Data Subjects:</w:t>
            </w:r>
          </w:p>
        </w:tc>
        <w:tc>
          <w:tcPr>
            <w:tcW w:w="8143" w:type="dxa"/>
            <w:gridSpan w:val="5"/>
            <w:vAlign w:val="center"/>
          </w:tcPr>
          <w:p w14:paraId="557CD131" w14:textId="77777777" w:rsidR="007047A8" w:rsidRPr="008718B0" w:rsidRDefault="00FD2457"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The data subject may exercise the following rights: Access, Rectification, Erasure, Restriction, Portability </w:t>
            </w:r>
          </w:p>
        </w:tc>
      </w:tr>
    </w:tbl>
    <w:p w14:paraId="39ADE9BF" w14:textId="3E9B0364" w:rsidR="00A32081" w:rsidRPr="008718B0" w:rsidRDefault="00CF3EA8" w:rsidP="00A235A4">
      <w:pPr>
        <w:pStyle w:val="NormlWeb"/>
        <w:numPr>
          <w:ilvl w:val="0"/>
          <w:numId w:val="12"/>
        </w:numPr>
        <w:spacing w:before="120" w:beforeAutospacing="0" w:after="120" w:afterAutospacing="0"/>
        <w:ind w:left="1077"/>
        <w:jc w:val="both"/>
        <w:rPr>
          <w:b/>
          <w:color w:val="000000" w:themeColor="text1"/>
          <w:sz w:val="22"/>
          <w:szCs w:val="22"/>
        </w:rPr>
      </w:pPr>
      <w:r w:rsidRPr="008718B0">
        <w:rPr>
          <w:b/>
          <w:bCs/>
          <w:color w:val="000000" w:themeColor="text1"/>
          <w:sz w:val="22"/>
          <w:szCs w:val="22"/>
          <w:lang w:val="en"/>
        </w:rPr>
        <w:t>Registration with subscription</w:t>
      </w:r>
    </w:p>
    <w:p w14:paraId="5FED13A9" w14:textId="1104B1E8" w:rsidR="00A32081" w:rsidRPr="008718B0" w:rsidRDefault="00A32081"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 xml:space="preserve">After subscription, the User has the opportunity to </w:t>
      </w:r>
      <w:r w:rsidR="00623A3D" w:rsidRPr="008718B0">
        <w:rPr>
          <w:color w:val="000000" w:themeColor="text1"/>
          <w:sz w:val="22"/>
          <w:szCs w:val="22"/>
          <w:shd w:val="clear" w:color="auto" w:fill="FFFFFF"/>
          <w:lang w:val="en"/>
        </w:rPr>
        <w:t>buy virtual products from</w:t>
      </w:r>
      <w:r w:rsidRPr="008718B0">
        <w:rPr>
          <w:color w:val="000000" w:themeColor="text1"/>
          <w:sz w:val="22"/>
          <w:szCs w:val="22"/>
          <w:shd w:val="clear" w:color="auto" w:fill="FFFFFF"/>
          <w:lang w:val="en"/>
        </w:rPr>
        <w:t xml:space="preserve"> the Data Controller which gives its investment tips taking into account the User's investment attitudes, portfolio and market trends. Accepting the advice and making the investment decision is always up to the User. The Data Controller does not have access to the User's portfolio in any way, under any circumstances, and does not carry out any transactions with it, but it gets access to the User's financial data.</w:t>
      </w:r>
    </w:p>
    <w:p w14:paraId="25181AFB" w14:textId="77777777" w:rsidR="00CF3EA8" w:rsidRPr="008718B0" w:rsidRDefault="00CF3EA8"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 xml:space="preserve">The service is subject to </w:t>
      </w:r>
      <w:proofErr w:type="gramStart"/>
      <w:r w:rsidRPr="008718B0">
        <w:rPr>
          <w:color w:val="000000" w:themeColor="text1"/>
          <w:sz w:val="22"/>
          <w:szCs w:val="22"/>
          <w:shd w:val="clear" w:color="auto" w:fill="FFFFFF"/>
          <w:lang w:val="en"/>
        </w:rPr>
        <w:t>a subscription</w:t>
      </w:r>
      <w:proofErr w:type="gramEnd"/>
      <w:r w:rsidRPr="008718B0">
        <w:rPr>
          <w:color w:val="000000" w:themeColor="text1"/>
          <w:sz w:val="22"/>
          <w:szCs w:val="22"/>
          <w:shd w:val="clear" w:color="auto" w:fill="FFFFFF"/>
          <w:lang w:val="en"/>
        </w:rPr>
        <w:t xml:space="preserve"> and can only be used by people over 18 years of age. Data processing is carried out at the same level and with the same liability for all service packages.</w:t>
      </w:r>
    </w:p>
    <w:p w14:paraId="11496128" w14:textId="77777777" w:rsidR="00A176D1" w:rsidRPr="008718B0" w:rsidRDefault="00CF3EA8"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Registration data</w:t>
      </w:r>
      <w:r w:rsidR="00A176D1" w:rsidRPr="008718B0">
        <w:rPr>
          <w:color w:val="000000" w:themeColor="text1"/>
          <w:sz w:val="22"/>
          <w:szCs w:val="22"/>
          <w:shd w:val="clear" w:color="auto" w:fill="FFFFFF"/>
          <w:lang w:val="en"/>
        </w:rPr>
        <w:t xml:space="preserve"> for legal entities</w:t>
      </w:r>
      <w:r w:rsidRPr="008718B0">
        <w:rPr>
          <w:color w:val="000000" w:themeColor="text1"/>
          <w:sz w:val="22"/>
          <w:szCs w:val="22"/>
          <w:shd w:val="clear" w:color="auto" w:fill="FFFFFF"/>
          <w:lang w:val="en"/>
        </w:rPr>
        <w:t xml:space="preserve">: </w:t>
      </w:r>
    </w:p>
    <w:p w14:paraId="463E3251" w14:textId="77777777"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 xml:space="preserve">unique </w:t>
      </w:r>
      <w:r w:rsidR="00CF3EA8" w:rsidRPr="008718B0">
        <w:rPr>
          <w:color w:val="000000" w:themeColor="text1"/>
          <w:sz w:val="22"/>
          <w:szCs w:val="22"/>
          <w:shd w:val="clear" w:color="auto" w:fill="FFFFFF"/>
          <w:lang w:val="en"/>
        </w:rPr>
        <w:t>identifier</w:t>
      </w:r>
      <w:r w:rsidRPr="008718B0">
        <w:rPr>
          <w:color w:val="000000" w:themeColor="text1"/>
          <w:sz w:val="22"/>
          <w:szCs w:val="22"/>
          <w:shd w:val="clear" w:color="auto" w:fill="FFFFFF"/>
          <w:lang w:val="en"/>
        </w:rPr>
        <w:t xml:space="preserve"> assigned by the system</w:t>
      </w:r>
    </w:p>
    <w:p w14:paraId="4FCC2D39" w14:textId="7C29CF52" w:rsidR="00A176D1" w:rsidRPr="008718B0" w:rsidRDefault="00CF3EA8"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password</w:t>
      </w:r>
      <w:r w:rsidR="00A176D1" w:rsidRPr="008718B0">
        <w:rPr>
          <w:color w:val="000000" w:themeColor="text1"/>
          <w:sz w:val="22"/>
          <w:szCs w:val="22"/>
          <w:shd w:val="clear" w:color="auto" w:fill="FFFFFF"/>
          <w:lang w:val="en"/>
        </w:rPr>
        <w:t xml:space="preserve"> (</w:t>
      </w:r>
      <w:proofErr w:type="spellStart"/>
      <w:r w:rsidR="00A176D1" w:rsidRPr="008718B0">
        <w:rPr>
          <w:color w:val="000000" w:themeColor="text1"/>
          <w:sz w:val="22"/>
          <w:szCs w:val="22"/>
          <w:shd w:val="clear" w:color="auto" w:fill="FFFFFF"/>
          <w:lang w:val="en"/>
        </w:rPr>
        <w:t>bcrypt</w:t>
      </w:r>
      <w:proofErr w:type="spellEnd"/>
      <w:r w:rsidR="00A176D1" w:rsidRPr="008718B0">
        <w:rPr>
          <w:color w:val="000000" w:themeColor="text1"/>
          <w:sz w:val="22"/>
          <w:szCs w:val="22"/>
          <w:shd w:val="clear" w:color="auto" w:fill="FFFFFF"/>
          <w:lang w:val="en"/>
        </w:rPr>
        <w:t xml:space="preserve"> hashed)</w:t>
      </w:r>
    </w:p>
    <w:p w14:paraId="4744FBF3" w14:textId="77E76D52"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company details (varied by countries)</w:t>
      </w:r>
    </w:p>
    <w:p w14:paraId="2CE8DE1B" w14:textId="5AF86545"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contact person’s e-mail address</w:t>
      </w:r>
    </w:p>
    <w:p w14:paraId="3E5D78F0" w14:textId="6B0365E9"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 xml:space="preserve">contact </w:t>
      </w:r>
      <w:proofErr w:type="spellStart"/>
      <w:r w:rsidRPr="008718B0">
        <w:rPr>
          <w:color w:val="000000" w:themeColor="text1"/>
          <w:sz w:val="22"/>
          <w:szCs w:val="22"/>
          <w:shd w:val="clear" w:color="auto" w:fill="FFFFFF"/>
          <w:lang w:val="en"/>
        </w:rPr>
        <w:t>person’s</w:t>
      </w:r>
      <w:r w:rsidR="00CF3EA8" w:rsidRPr="008718B0">
        <w:rPr>
          <w:color w:val="000000" w:themeColor="text1"/>
          <w:sz w:val="22"/>
          <w:szCs w:val="22"/>
          <w:shd w:val="clear" w:color="auto" w:fill="FFFFFF"/>
          <w:lang w:val="en"/>
        </w:rPr>
        <w:t>telephone</w:t>
      </w:r>
      <w:proofErr w:type="spellEnd"/>
      <w:r w:rsidR="00CF3EA8" w:rsidRPr="008718B0">
        <w:rPr>
          <w:color w:val="000000" w:themeColor="text1"/>
          <w:sz w:val="22"/>
          <w:szCs w:val="22"/>
          <w:shd w:val="clear" w:color="auto" w:fill="FFFFFF"/>
          <w:lang w:val="en"/>
        </w:rPr>
        <w:t xml:space="preserve"> number</w:t>
      </w:r>
    </w:p>
    <w:p w14:paraId="28CFC7D5" w14:textId="7C6995D9" w:rsidR="00CF3EA8"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contact person’s date of birth</w:t>
      </w:r>
    </w:p>
    <w:p w14:paraId="1A383FF1" w14:textId="5D0C1E2F"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contact person’s mother’s maiden name</w:t>
      </w:r>
    </w:p>
    <w:p w14:paraId="239A522C" w14:textId="394812B8"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 xml:space="preserve">passport or personal ID copy of the contact </w:t>
      </w:r>
      <w:proofErr w:type="spellStart"/>
      <w:r w:rsidRPr="008718B0">
        <w:rPr>
          <w:color w:val="000000" w:themeColor="text1"/>
          <w:sz w:val="22"/>
          <w:szCs w:val="22"/>
          <w:shd w:val="clear" w:color="auto" w:fill="FFFFFF"/>
          <w:lang w:val="en"/>
        </w:rPr>
        <w:t>persion’s</w:t>
      </w:r>
      <w:proofErr w:type="spellEnd"/>
    </w:p>
    <w:p w14:paraId="4B1816C0" w14:textId="68EA0F50" w:rsidR="00A176D1" w:rsidRPr="008718B0" w:rsidRDefault="00A176D1" w:rsidP="008718B0">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bank account statements (no longer than 3 months) of the company proving that the company is registered and operated by the given contact person’s</w:t>
      </w:r>
    </w:p>
    <w:p w14:paraId="2EC0C807" w14:textId="3E0A1867" w:rsidR="00A176D1" w:rsidRPr="008718B0" w:rsidRDefault="00A176D1" w:rsidP="00A176D1">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Registration data for natural bodies:</w:t>
      </w:r>
    </w:p>
    <w:p w14:paraId="512C4B47" w14:textId="77777777"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unique identifier assigned by the system</w:t>
      </w:r>
    </w:p>
    <w:p w14:paraId="2B50D0B7" w14:textId="77777777"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password (</w:t>
      </w:r>
      <w:proofErr w:type="spellStart"/>
      <w:r w:rsidRPr="008718B0">
        <w:rPr>
          <w:color w:val="000000" w:themeColor="text1"/>
          <w:sz w:val="22"/>
          <w:szCs w:val="22"/>
          <w:shd w:val="clear" w:color="auto" w:fill="FFFFFF"/>
          <w:lang w:val="en"/>
        </w:rPr>
        <w:t>bcrypt</w:t>
      </w:r>
      <w:proofErr w:type="spellEnd"/>
      <w:r w:rsidRPr="008718B0">
        <w:rPr>
          <w:color w:val="000000" w:themeColor="text1"/>
          <w:sz w:val="22"/>
          <w:szCs w:val="22"/>
          <w:shd w:val="clear" w:color="auto" w:fill="FFFFFF"/>
          <w:lang w:val="en"/>
        </w:rPr>
        <w:t xml:space="preserve"> hashed)</w:t>
      </w:r>
    </w:p>
    <w:p w14:paraId="4C111CC4" w14:textId="1B5B28BD"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personal e-mail address</w:t>
      </w:r>
    </w:p>
    <w:p w14:paraId="4789711B" w14:textId="36DCC72C"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personal telephone number</w:t>
      </w:r>
    </w:p>
    <w:p w14:paraId="7EC4F3D8" w14:textId="7B8B83FF"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lastRenderedPageBreak/>
        <w:t>personal date of birth</w:t>
      </w:r>
    </w:p>
    <w:p w14:paraId="026C1028" w14:textId="398EDF30"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personal mother’s maiden name</w:t>
      </w:r>
    </w:p>
    <w:p w14:paraId="521A14B2" w14:textId="0B000136" w:rsidR="00A176D1" w:rsidRPr="008718B0" w:rsidRDefault="00A176D1" w:rsidP="00A176D1">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passport or personal ID copy</w:t>
      </w:r>
    </w:p>
    <w:p w14:paraId="140D554C" w14:textId="63A0BF6B" w:rsidR="00A176D1" w:rsidRPr="008718B0" w:rsidRDefault="00A176D1" w:rsidP="008718B0">
      <w:pPr>
        <w:pStyle w:val="NormlWeb"/>
        <w:numPr>
          <w:ilvl w:val="0"/>
          <w:numId w:val="26"/>
        </w:numPr>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bank account statements (no longer than 3 months)</w:t>
      </w:r>
    </w:p>
    <w:p w14:paraId="4631F625" w14:textId="77777777" w:rsidR="00CF3EA8" w:rsidRPr="008718B0" w:rsidRDefault="00CF3EA8"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Data of investment transactions: The Data Controller analyses the transactions carried out by the User and their settings in terms of amount, portfolio, frequency, risk appetite, industry, asset type, region and currency; based on which the Data Subject’s investor profile can be created.</w:t>
      </w:r>
    </w:p>
    <w:tbl>
      <w:tblPr>
        <w:tblStyle w:val="Rcsostblzat"/>
        <w:tblW w:w="10207" w:type="dxa"/>
        <w:tblInd w:w="-431" w:type="dxa"/>
        <w:tblLook w:val="04A0" w:firstRow="1" w:lastRow="0" w:firstColumn="1" w:lastColumn="0" w:noHBand="0" w:noVBand="1"/>
      </w:tblPr>
      <w:tblGrid>
        <w:gridCol w:w="2119"/>
        <w:gridCol w:w="1635"/>
        <w:gridCol w:w="1654"/>
        <w:gridCol w:w="1516"/>
        <w:gridCol w:w="1482"/>
        <w:gridCol w:w="1801"/>
      </w:tblGrid>
      <w:tr w:rsidR="00C871F0" w:rsidRPr="008718B0" w14:paraId="7AF589B9" w14:textId="77777777" w:rsidTr="00823E03">
        <w:tc>
          <w:tcPr>
            <w:tcW w:w="2119" w:type="dxa"/>
            <w:shd w:val="pct10" w:color="auto" w:fill="auto"/>
            <w:vAlign w:val="center"/>
          </w:tcPr>
          <w:p w14:paraId="05BCB306"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Purpose</w:t>
            </w:r>
          </w:p>
        </w:tc>
        <w:tc>
          <w:tcPr>
            <w:tcW w:w="1635" w:type="dxa"/>
            <w:shd w:val="pct10" w:color="auto" w:fill="auto"/>
            <w:vAlign w:val="center"/>
          </w:tcPr>
          <w:p w14:paraId="332CAEE5"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Legal basis </w:t>
            </w:r>
          </w:p>
          <w:p w14:paraId="543E4621"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Paragraph (1) of Article 6 of the GDPR</w:t>
            </w:r>
          </w:p>
        </w:tc>
        <w:tc>
          <w:tcPr>
            <w:tcW w:w="1654" w:type="dxa"/>
            <w:shd w:val="pct10" w:color="auto" w:fill="auto"/>
            <w:vAlign w:val="center"/>
          </w:tcPr>
          <w:p w14:paraId="74155001"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Subjects concerned</w:t>
            </w:r>
          </w:p>
        </w:tc>
        <w:tc>
          <w:tcPr>
            <w:tcW w:w="1516" w:type="dxa"/>
            <w:shd w:val="pct10" w:color="auto" w:fill="auto"/>
            <w:vAlign w:val="center"/>
          </w:tcPr>
          <w:p w14:paraId="70AB2568"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w:t>
            </w:r>
          </w:p>
        </w:tc>
        <w:tc>
          <w:tcPr>
            <w:tcW w:w="1482" w:type="dxa"/>
            <w:shd w:val="pct10" w:color="auto" w:fill="auto"/>
            <w:vAlign w:val="center"/>
          </w:tcPr>
          <w:p w14:paraId="70C6E81C"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Retention period</w:t>
            </w:r>
          </w:p>
        </w:tc>
        <w:tc>
          <w:tcPr>
            <w:tcW w:w="1801" w:type="dxa"/>
            <w:shd w:val="pct10" w:color="auto" w:fill="auto"/>
            <w:vAlign w:val="center"/>
          </w:tcPr>
          <w:p w14:paraId="19C37894"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Source of data</w:t>
            </w:r>
          </w:p>
        </w:tc>
      </w:tr>
      <w:tr w:rsidR="00C871F0" w:rsidRPr="008718B0" w14:paraId="6F45503F" w14:textId="77777777" w:rsidTr="00823E03">
        <w:tc>
          <w:tcPr>
            <w:tcW w:w="2119" w:type="dxa"/>
            <w:vAlign w:val="center"/>
          </w:tcPr>
          <w:p w14:paraId="38B174BF" w14:textId="20CBF5D5"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Authentication</w:t>
            </w:r>
            <w:r w:rsidR="00A176D1" w:rsidRPr="008718B0">
              <w:rPr>
                <w:color w:val="000000" w:themeColor="text1"/>
                <w:sz w:val="22"/>
                <w:szCs w:val="22"/>
                <w:lang w:val="en"/>
              </w:rPr>
              <w:t xml:space="preserve"> and account verification</w:t>
            </w:r>
          </w:p>
        </w:tc>
        <w:tc>
          <w:tcPr>
            <w:tcW w:w="1635" w:type="dxa"/>
            <w:vMerge w:val="restart"/>
            <w:vAlign w:val="center"/>
          </w:tcPr>
          <w:p w14:paraId="0AD884A7" w14:textId="77777777" w:rsidR="00CF3EA8" w:rsidRPr="008718B0" w:rsidRDefault="00CF3EA8" w:rsidP="00A235A4">
            <w:pPr>
              <w:pStyle w:val="NormlWeb"/>
              <w:spacing w:before="120" w:beforeAutospacing="0" w:after="120" w:afterAutospacing="0"/>
              <w:ind w:left="11"/>
              <w:jc w:val="both"/>
              <w:rPr>
                <w:color w:val="000000" w:themeColor="text1"/>
                <w:sz w:val="22"/>
                <w:szCs w:val="22"/>
              </w:rPr>
            </w:pPr>
            <w:r w:rsidRPr="008718B0">
              <w:rPr>
                <w:color w:val="000000" w:themeColor="text1"/>
                <w:sz w:val="22"/>
                <w:szCs w:val="22"/>
                <w:lang w:val="en"/>
              </w:rPr>
              <w:t>b) – performance of a contract</w:t>
            </w:r>
          </w:p>
        </w:tc>
        <w:tc>
          <w:tcPr>
            <w:tcW w:w="1654" w:type="dxa"/>
            <w:vMerge w:val="restart"/>
            <w:vAlign w:val="center"/>
          </w:tcPr>
          <w:p w14:paraId="2F65B62A" w14:textId="77777777" w:rsidR="00CF3EA8"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Registered subscriber</w:t>
            </w:r>
          </w:p>
        </w:tc>
        <w:tc>
          <w:tcPr>
            <w:tcW w:w="1516" w:type="dxa"/>
            <w:vAlign w:val="center"/>
          </w:tcPr>
          <w:p w14:paraId="6C0A2546"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Registration data </w:t>
            </w:r>
          </w:p>
        </w:tc>
        <w:tc>
          <w:tcPr>
            <w:tcW w:w="1482" w:type="dxa"/>
            <w:vMerge w:val="restart"/>
            <w:vAlign w:val="center"/>
          </w:tcPr>
          <w:p w14:paraId="5C44DB39" w14:textId="79A6AFEC" w:rsidR="008D0AA9" w:rsidRPr="008718B0" w:rsidRDefault="00A176D1"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10 years</w:t>
            </w:r>
          </w:p>
          <w:p w14:paraId="589B1005" w14:textId="77777777" w:rsidR="00CF3EA8" w:rsidRPr="008718B0" w:rsidRDefault="00CF3EA8" w:rsidP="00A235A4">
            <w:pPr>
              <w:pStyle w:val="NormlWeb"/>
              <w:spacing w:before="120" w:beforeAutospacing="0" w:after="120" w:afterAutospacing="0"/>
              <w:jc w:val="both"/>
              <w:rPr>
                <w:color w:val="000000" w:themeColor="text1"/>
                <w:sz w:val="22"/>
                <w:szCs w:val="22"/>
              </w:rPr>
            </w:pPr>
          </w:p>
        </w:tc>
        <w:tc>
          <w:tcPr>
            <w:tcW w:w="1801" w:type="dxa"/>
            <w:vMerge w:val="restart"/>
            <w:vAlign w:val="center"/>
          </w:tcPr>
          <w:p w14:paraId="4FC26263"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Subject</w:t>
            </w:r>
          </w:p>
        </w:tc>
      </w:tr>
      <w:tr w:rsidR="00C871F0" w:rsidRPr="008718B0" w14:paraId="7F428518" w14:textId="77777777" w:rsidTr="00823E03">
        <w:tc>
          <w:tcPr>
            <w:tcW w:w="2119" w:type="dxa"/>
            <w:vAlign w:val="center"/>
          </w:tcPr>
          <w:p w14:paraId="51246A63"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Investor’s strategy analysis</w:t>
            </w:r>
          </w:p>
        </w:tc>
        <w:tc>
          <w:tcPr>
            <w:tcW w:w="1635" w:type="dxa"/>
            <w:vMerge/>
            <w:vAlign w:val="center"/>
          </w:tcPr>
          <w:p w14:paraId="7D122836" w14:textId="77777777" w:rsidR="00CF3EA8" w:rsidRPr="008718B0" w:rsidRDefault="00CF3EA8" w:rsidP="00A235A4">
            <w:pPr>
              <w:pStyle w:val="NormlWeb"/>
              <w:spacing w:before="120" w:beforeAutospacing="0" w:after="120" w:afterAutospacing="0"/>
              <w:ind w:left="11"/>
              <w:jc w:val="both"/>
              <w:rPr>
                <w:color w:val="000000" w:themeColor="text1"/>
                <w:sz w:val="22"/>
                <w:szCs w:val="22"/>
              </w:rPr>
            </w:pPr>
          </w:p>
        </w:tc>
        <w:tc>
          <w:tcPr>
            <w:tcW w:w="1654" w:type="dxa"/>
            <w:vMerge/>
            <w:vAlign w:val="center"/>
          </w:tcPr>
          <w:p w14:paraId="3C9D8E10" w14:textId="77777777" w:rsidR="00CF3EA8" w:rsidRPr="008718B0" w:rsidRDefault="00CF3EA8" w:rsidP="00A235A4">
            <w:pPr>
              <w:pStyle w:val="NormlWeb"/>
              <w:spacing w:before="120" w:beforeAutospacing="0" w:after="120" w:afterAutospacing="0"/>
              <w:jc w:val="both"/>
              <w:rPr>
                <w:color w:val="000000" w:themeColor="text1"/>
                <w:sz w:val="22"/>
                <w:szCs w:val="22"/>
              </w:rPr>
            </w:pPr>
          </w:p>
        </w:tc>
        <w:tc>
          <w:tcPr>
            <w:tcW w:w="1516" w:type="dxa"/>
            <w:vAlign w:val="center"/>
          </w:tcPr>
          <w:p w14:paraId="035FCBC4"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of investment transactions</w:t>
            </w:r>
          </w:p>
        </w:tc>
        <w:tc>
          <w:tcPr>
            <w:tcW w:w="1482" w:type="dxa"/>
            <w:vMerge/>
            <w:vAlign w:val="center"/>
          </w:tcPr>
          <w:p w14:paraId="0D18CA6A" w14:textId="77777777" w:rsidR="00CF3EA8" w:rsidRPr="008718B0" w:rsidRDefault="00CF3EA8" w:rsidP="00A235A4">
            <w:pPr>
              <w:pStyle w:val="NormlWeb"/>
              <w:spacing w:before="120" w:beforeAutospacing="0" w:after="120" w:afterAutospacing="0"/>
              <w:jc w:val="both"/>
              <w:rPr>
                <w:color w:val="000000" w:themeColor="text1"/>
                <w:sz w:val="22"/>
                <w:szCs w:val="22"/>
              </w:rPr>
            </w:pPr>
          </w:p>
        </w:tc>
        <w:tc>
          <w:tcPr>
            <w:tcW w:w="1801" w:type="dxa"/>
            <w:vMerge/>
            <w:vAlign w:val="center"/>
          </w:tcPr>
          <w:p w14:paraId="0B19FE6E" w14:textId="77777777" w:rsidR="00CF3EA8" w:rsidRPr="008718B0" w:rsidRDefault="00CF3EA8" w:rsidP="00A235A4">
            <w:pPr>
              <w:pStyle w:val="NormlWeb"/>
              <w:spacing w:before="120" w:beforeAutospacing="0" w:after="120" w:afterAutospacing="0"/>
              <w:jc w:val="both"/>
              <w:rPr>
                <w:color w:val="000000" w:themeColor="text1"/>
                <w:sz w:val="22"/>
                <w:szCs w:val="22"/>
              </w:rPr>
            </w:pPr>
          </w:p>
        </w:tc>
      </w:tr>
      <w:tr w:rsidR="00C871F0" w:rsidRPr="008718B0" w14:paraId="7AD96109" w14:textId="77777777" w:rsidTr="00823E03">
        <w:tc>
          <w:tcPr>
            <w:tcW w:w="2119" w:type="dxa"/>
            <w:shd w:val="pct10" w:color="auto" w:fill="auto"/>
            <w:vAlign w:val="center"/>
          </w:tcPr>
          <w:p w14:paraId="35F8E055"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Transmission of data:</w:t>
            </w:r>
          </w:p>
        </w:tc>
        <w:tc>
          <w:tcPr>
            <w:tcW w:w="8088" w:type="dxa"/>
            <w:gridSpan w:val="5"/>
            <w:vAlign w:val="center"/>
          </w:tcPr>
          <w:p w14:paraId="27C2E509"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No data transfer occurs</w:t>
            </w:r>
          </w:p>
        </w:tc>
      </w:tr>
      <w:tr w:rsidR="00C871F0" w:rsidRPr="008718B0" w14:paraId="5E8017B4" w14:textId="77777777" w:rsidTr="00823E03">
        <w:tc>
          <w:tcPr>
            <w:tcW w:w="2119" w:type="dxa"/>
            <w:shd w:val="pct10" w:color="auto" w:fill="auto"/>
            <w:vAlign w:val="center"/>
          </w:tcPr>
          <w:p w14:paraId="006C7D26"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processor:</w:t>
            </w:r>
          </w:p>
        </w:tc>
        <w:tc>
          <w:tcPr>
            <w:tcW w:w="8088" w:type="dxa"/>
            <w:gridSpan w:val="5"/>
            <w:vAlign w:val="center"/>
          </w:tcPr>
          <w:p w14:paraId="5D09DD6A" w14:textId="0AB7E7F3" w:rsidR="00CF3EA8" w:rsidRPr="008718B0" w:rsidRDefault="00A176D1"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Server provider</w:t>
            </w:r>
          </w:p>
        </w:tc>
      </w:tr>
      <w:tr w:rsidR="00C871F0" w:rsidRPr="008718B0" w14:paraId="5753E95D" w14:textId="77777777" w:rsidTr="00823E03">
        <w:tc>
          <w:tcPr>
            <w:tcW w:w="2119" w:type="dxa"/>
            <w:shd w:val="pct10" w:color="auto" w:fill="auto"/>
            <w:vAlign w:val="center"/>
          </w:tcPr>
          <w:p w14:paraId="731A44C8"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Profiling</w:t>
            </w:r>
          </w:p>
        </w:tc>
        <w:tc>
          <w:tcPr>
            <w:tcW w:w="8088" w:type="dxa"/>
            <w:gridSpan w:val="5"/>
            <w:vAlign w:val="center"/>
          </w:tcPr>
          <w:p w14:paraId="51CD982D" w14:textId="77777777" w:rsidR="00CF3EA8" w:rsidRPr="008718B0" w:rsidRDefault="008D0AA9"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It is done solely for the purpose of creating the financial profile and making </w:t>
            </w:r>
            <w:proofErr w:type="spellStart"/>
            <w:r w:rsidRPr="008718B0">
              <w:rPr>
                <w:color w:val="000000" w:themeColor="text1"/>
                <w:sz w:val="22"/>
                <w:szCs w:val="22"/>
                <w:lang w:val="en"/>
              </w:rPr>
              <w:t>customised</w:t>
            </w:r>
            <w:proofErr w:type="spellEnd"/>
            <w:r w:rsidRPr="008718B0">
              <w:rPr>
                <w:color w:val="000000" w:themeColor="text1"/>
                <w:sz w:val="22"/>
                <w:szCs w:val="22"/>
                <w:lang w:val="en"/>
              </w:rPr>
              <w:t xml:space="preserve"> proposals by evaluating the market conditions and the Data Subject’s investing activities.</w:t>
            </w:r>
          </w:p>
        </w:tc>
      </w:tr>
      <w:tr w:rsidR="00C871F0" w:rsidRPr="008718B0" w14:paraId="312F10AB" w14:textId="77777777" w:rsidTr="00823E03">
        <w:tc>
          <w:tcPr>
            <w:tcW w:w="2119" w:type="dxa"/>
            <w:shd w:val="pct10" w:color="auto" w:fill="auto"/>
            <w:vAlign w:val="center"/>
          </w:tcPr>
          <w:p w14:paraId="492C67A8"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Automated decision-making</w:t>
            </w:r>
          </w:p>
        </w:tc>
        <w:tc>
          <w:tcPr>
            <w:tcW w:w="8088" w:type="dxa"/>
            <w:gridSpan w:val="5"/>
            <w:vAlign w:val="center"/>
          </w:tcPr>
          <w:p w14:paraId="47916DD3"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None</w:t>
            </w:r>
          </w:p>
        </w:tc>
      </w:tr>
      <w:tr w:rsidR="00C871F0" w:rsidRPr="008718B0" w14:paraId="405590FB" w14:textId="77777777" w:rsidTr="00823E03">
        <w:tc>
          <w:tcPr>
            <w:tcW w:w="2119" w:type="dxa"/>
            <w:shd w:val="pct10" w:color="auto" w:fill="auto"/>
            <w:vAlign w:val="center"/>
          </w:tcPr>
          <w:p w14:paraId="759F41DD"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Rights of Data Subjects:</w:t>
            </w:r>
          </w:p>
        </w:tc>
        <w:tc>
          <w:tcPr>
            <w:tcW w:w="8088" w:type="dxa"/>
            <w:gridSpan w:val="5"/>
            <w:vAlign w:val="center"/>
          </w:tcPr>
          <w:p w14:paraId="79AEC201" w14:textId="77777777" w:rsidR="00CF3EA8" w:rsidRPr="008718B0" w:rsidRDefault="00CF3EA8"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The data subject may exercise the following rights: Access, Rectification, Erasure, Restriction, Portability </w:t>
            </w:r>
          </w:p>
        </w:tc>
      </w:tr>
    </w:tbl>
    <w:p w14:paraId="79453ECA" w14:textId="77777777" w:rsidR="00A235A4" w:rsidRPr="008718B0" w:rsidRDefault="00A235A4" w:rsidP="00A235A4">
      <w:pPr>
        <w:pStyle w:val="NormlWeb"/>
        <w:spacing w:before="120" w:beforeAutospacing="0" w:after="120" w:afterAutospacing="0"/>
        <w:ind w:left="1080"/>
        <w:jc w:val="both"/>
        <w:rPr>
          <w:b/>
          <w:color w:val="000000" w:themeColor="text1"/>
          <w:sz w:val="22"/>
          <w:szCs w:val="22"/>
        </w:rPr>
      </w:pPr>
    </w:p>
    <w:p w14:paraId="6112E625" w14:textId="577331AB" w:rsidR="00CE75F5" w:rsidRPr="008718B0" w:rsidRDefault="00823E03" w:rsidP="00A235A4">
      <w:pPr>
        <w:pStyle w:val="NormlWeb"/>
        <w:numPr>
          <w:ilvl w:val="0"/>
          <w:numId w:val="12"/>
        </w:numPr>
        <w:spacing w:before="120" w:beforeAutospacing="0" w:after="120" w:afterAutospacing="0"/>
        <w:jc w:val="both"/>
        <w:rPr>
          <w:b/>
          <w:color w:val="000000" w:themeColor="text1"/>
          <w:sz w:val="22"/>
          <w:szCs w:val="22"/>
        </w:rPr>
      </w:pPr>
      <w:r w:rsidRPr="008718B0">
        <w:rPr>
          <w:b/>
          <w:bCs/>
          <w:color w:val="000000" w:themeColor="text1"/>
          <w:sz w:val="22"/>
          <w:szCs w:val="22"/>
          <w:lang w:val="en"/>
        </w:rPr>
        <w:t>Payment and Financial Settlement</w:t>
      </w:r>
    </w:p>
    <w:p w14:paraId="2D140F88" w14:textId="77777777" w:rsidR="00823E03" w:rsidRPr="008718B0" w:rsidRDefault="00823E03"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The subscription may be paid for via the payment platform on the website of the Data Controller. During the payment process, the Data Controller redirects the Data Subject to the website of the financial service provider, so it does not get access to the identifiers and data required for the payment.</w:t>
      </w:r>
    </w:p>
    <w:p w14:paraId="75A49212" w14:textId="77777777" w:rsidR="00CE75F5" w:rsidRPr="008718B0" w:rsidRDefault="00CE75F5"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Based on the service contract, the Data Controller issues an invoice to the User.</w:t>
      </w:r>
    </w:p>
    <w:p w14:paraId="4584A92F" w14:textId="77777777" w:rsidR="00823E03" w:rsidRPr="008718B0" w:rsidRDefault="00823E03"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Billing information: Name, e-mail address, tax ID or tax registration number.</w:t>
      </w:r>
    </w:p>
    <w:p w14:paraId="7E2BCC03" w14:textId="77777777" w:rsidR="00A235A4" w:rsidRPr="008718B0" w:rsidRDefault="00A235A4" w:rsidP="00A235A4">
      <w:pPr>
        <w:pStyle w:val="NormlWeb"/>
        <w:spacing w:before="120" w:beforeAutospacing="0" w:after="120" w:afterAutospacing="0"/>
        <w:jc w:val="both"/>
        <w:rPr>
          <w:color w:val="000000" w:themeColor="text1"/>
          <w:sz w:val="22"/>
          <w:szCs w:val="22"/>
          <w:shd w:val="clear" w:color="auto" w:fill="FFFFFF"/>
          <w:lang w:val="en"/>
        </w:rPr>
      </w:pPr>
    </w:p>
    <w:p w14:paraId="7C81D69D" w14:textId="77777777" w:rsidR="00C871F0" w:rsidRPr="008718B0" w:rsidRDefault="00C871F0" w:rsidP="00A235A4">
      <w:pPr>
        <w:pStyle w:val="NormlWeb"/>
        <w:spacing w:before="120" w:beforeAutospacing="0" w:after="120" w:afterAutospacing="0"/>
        <w:jc w:val="both"/>
        <w:rPr>
          <w:bCs/>
          <w:color w:val="000000" w:themeColor="text1"/>
          <w:sz w:val="22"/>
          <w:szCs w:val="22"/>
          <w:shd w:val="clear" w:color="auto" w:fill="FFFFFF"/>
        </w:rPr>
      </w:pPr>
    </w:p>
    <w:tbl>
      <w:tblPr>
        <w:tblStyle w:val="Rcsostblzat"/>
        <w:tblW w:w="10207" w:type="dxa"/>
        <w:tblInd w:w="-431" w:type="dxa"/>
        <w:tblLayout w:type="fixed"/>
        <w:tblLook w:val="04A0" w:firstRow="1" w:lastRow="0" w:firstColumn="1" w:lastColumn="0" w:noHBand="0" w:noVBand="1"/>
      </w:tblPr>
      <w:tblGrid>
        <w:gridCol w:w="2127"/>
        <w:gridCol w:w="1560"/>
        <w:gridCol w:w="1875"/>
        <w:gridCol w:w="1464"/>
        <w:gridCol w:w="1394"/>
        <w:gridCol w:w="1787"/>
      </w:tblGrid>
      <w:tr w:rsidR="00C871F0" w:rsidRPr="008718B0" w14:paraId="05429846" w14:textId="77777777" w:rsidTr="008D0AA9">
        <w:tc>
          <w:tcPr>
            <w:tcW w:w="2127" w:type="dxa"/>
            <w:shd w:val="pct10" w:color="auto" w:fill="auto"/>
            <w:vAlign w:val="center"/>
          </w:tcPr>
          <w:p w14:paraId="0D5B589A"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Purpose</w:t>
            </w:r>
          </w:p>
        </w:tc>
        <w:tc>
          <w:tcPr>
            <w:tcW w:w="1560" w:type="dxa"/>
            <w:shd w:val="pct10" w:color="auto" w:fill="auto"/>
            <w:vAlign w:val="center"/>
          </w:tcPr>
          <w:p w14:paraId="0462CE56"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Legal basis </w:t>
            </w:r>
          </w:p>
          <w:p w14:paraId="5D926A2B"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Paragraph (1) of Article 6 of the GDPR</w:t>
            </w:r>
          </w:p>
        </w:tc>
        <w:tc>
          <w:tcPr>
            <w:tcW w:w="1875" w:type="dxa"/>
            <w:shd w:val="pct10" w:color="auto" w:fill="auto"/>
            <w:vAlign w:val="center"/>
          </w:tcPr>
          <w:p w14:paraId="54FFE4E9"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Subjects concerned</w:t>
            </w:r>
          </w:p>
        </w:tc>
        <w:tc>
          <w:tcPr>
            <w:tcW w:w="1464" w:type="dxa"/>
            <w:shd w:val="pct10" w:color="auto" w:fill="auto"/>
            <w:vAlign w:val="center"/>
          </w:tcPr>
          <w:p w14:paraId="77FDB10F"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w:t>
            </w:r>
          </w:p>
        </w:tc>
        <w:tc>
          <w:tcPr>
            <w:tcW w:w="1394" w:type="dxa"/>
            <w:shd w:val="pct10" w:color="auto" w:fill="auto"/>
            <w:vAlign w:val="center"/>
          </w:tcPr>
          <w:p w14:paraId="5A7E744C"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Retention period</w:t>
            </w:r>
          </w:p>
        </w:tc>
        <w:tc>
          <w:tcPr>
            <w:tcW w:w="1787" w:type="dxa"/>
            <w:shd w:val="pct10" w:color="auto" w:fill="auto"/>
            <w:vAlign w:val="center"/>
          </w:tcPr>
          <w:p w14:paraId="40407E85"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Source of data</w:t>
            </w:r>
          </w:p>
        </w:tc>
      </w:tr>
      <w:tr w:rsidR="00C871F0" w:rsidRPr="008718B0" w14:paraId="01BD1A4B" w14:textId="77777777" w:rsidTr="008D0AA9">
        <w:tc>
          <w:tcPr>
            <w:tcW w:w="2127" w:type="dxa"/>
            <w:vAlign w:val="center"/>
          </w:tcPr>
          <w:p w14:paraId="66D874BE"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lastRenderedPageBreak/>
              <w:t>Billing</w:t>
            </w:r>
          </w:p>
        </w:tc>
        <w:tc>
          <w:tcPr>
            <w:tcW w:w="1560" w:type="dxa"/>
            <w:vAlign w:val="center"/>
          </w:tcPr>
          <w:p w14:paraId="19038986"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b) – performance of a contract</w:t>
            </w:r>
          </w:p>
        </w:tc>
        <w:tc>
          <w:tcPr>
            <w:tcW w:w="1875" w:type="dxa"/>
            <w:vAlign w:val="center"/>
          </w:tcPr>
          <w:p w14:paraId="37BF8DC1" w14:textId="77777777" w:rsidR="00CE75F5" w:rsidRPr="008718B0" w:rsidRDefault="00823E03"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Registered </w:t>
            </w:r>
          </w:p>
          <w:p w14:paraId="4AAE082B" w14:textId="77777777" w:rsidR="00CE75F5" w:rsidRPr="008718B0" w:rsidRDefault="00823E03"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registered user</w:t>
            </w:r>
          </w:p>
        </w:tc>
        <w:tc>
          <w:tcPr>
            <w:tcW w:w="1464" w:type="dxa"/>
            <w:vAlign w:val="center"/>
          </w:tcPr>
          <w:p w14:paraId="117C3869"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Billing information</w:t>
            </w:r>
          </w:p>
        </w:tc>
        <w:tc>
          <w:tcPr>
            <w:tcW w:w="1394" w:type="dxa"/>
            <w:vAlign w:val="center"/>
          </w:tcPr>
          <w:p w14:paraId="658CBF00" w14:textId="4C4A0874" w:rsidR="00CE75F5" w:rsidRPr="008718B0" w:rsidRDefault="00A176D1"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10 </w:t>
            </w:r>
            <w:r w:rsidR="008D0AA9" w:rsidRPr="008718B0">
              <w:rPr>
                <w:color w:val="000000" w:themeColor="text1"/>
                <w:sz w:val="22"/>
                <w:szCs w:val="22"/>
                <w:lang w:val="en"/>
              </w:rPr>
              <w:t>years</w:t>
            </w:r>
          </w:p>
        </w:tc>
        <w:tc>
          <w:tcPr>
            <w:tcW w:w="1787" w:type="dxa"/>
            <w:vAlign w:val="center"/>
          </w:tcPr>
          <w:p w14:paraId="63885F4E" w14:textId="77777777" w:rsidR="00CE75F5" w:rsidRPr="008718B0" w:rsidRDefault="008D0AA9"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Subject</w:t>
            </w:r>
          </w:p>
        </w:tc>
      </w:tr>
      <w:tr w:rsidR="00C871F0" w:rsidRPr="008718B0" w14:paraId="4A6B8FF7" w14:textId="77777777" w:rsidTr="008D0AA9">
        <w:tc>
          <w:tcPr>
            <w:tcW w:w="2127" w:type="dxa"/>
            <w:shd w:val="pct10" w:color="auto" w:fill="auto"/>
            <w:vAlign w:val="center"/>
          </w:tcPr>
          <w:p w14:paraId="4EA65263"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Transmission of data:</w:t>
            </w:r>
          </w:p>
        </w:tc>
        <w:tc>
          <w:tcPr>
            <w:tcW w:w="8080" w:type="dxa"/>
            <w:gridSpan w:val="5"/>
            <w:vAlign w:val="center"/>
          </w:tcPr>
          <w:p w14:paraId="5DB38113" w14:textId="4F33264D" w:rsidR="00CE75F5" w:rsidRPr="008718B0" w:rsidRDefault="00A176D1"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None</w:t>
            </w:r>
          </w:p>
        </w:tc>
      </w:tr>
      <w:tr w:rsidR="00C871F0" w:rsidRPr="008718B0" w14:paraId="3E126AEB" w14:textId="77777777" w:rsidTr="008D0AA9">
        <w:tc>
          <w:tcPr>
            <w:tcW w:w="2127" w:type="dxa"/>
            <w:shd w:val="pct10" w:color="auto" w:fill="auto"/>
            <w:vAlign w:val="center"/>
          </w:tcPr>
          <w:p w14:paraId="1B7EDD4F"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processor:</w:t>
            </w:r>
          </w:p>
        </w:tc>
        <w:tc>
          <w:tcPr>
            <w:tcW w:w="8080" w:type="dxa"/>
            <w:gridSpan w:val="5"/>
            <w:vAlign w:val="center"/>
          </w:tcPr>
          <w:p w14:paraId="6CFCECB9" w14:textId="785141D8" w:rsidR="00CE75F5" w:rsidRPr="008718B0" w:rsidRDefault="00A176D1" w:rsidP="00A235A4">
            <w:pPr>
              <w:pStyle w:val="NormlWeb"/>
              <w:spacing w:before="120" w:beforeAutospacing="0" w:after="120" w:afterAutospacing="0"/>
              <w:jc w:val="both"/>
              <w:rPr>
                <w:color w:val="000000" w:themeColor="text1"/>
                <w:sz w:val="22"/>
                <w:szCs w:val="22"/>
              </w:rPr>
            </w:pPr>
            <w:proofErr w:type="spellStart"/>
            <w:r w:rsidRPr="008718B0">
              <w:rPr>
                <w:color w:val="000000" w:themeColor="text1"/>
                <w:sz w:val="22"/>
                <w:szCs w:val="22"/>
              </w:rPr>
              <w:t>None</w:t>
            </w:r>
            <w:proofErr w:type="spellEnd"/>
          </w:p>
        </w:tc>
      </w:tr>
      <w:tr w:rsidR="00C871F0" w:rsidRPr="008718B0" w14:paraId="4A591C27" w14:textId="77777777" w:rsidTr="008D0AA9">
        <w:tc>
          <w:tcPr>
            <w:tcW w:w="2127" w:type="dxa"/>
            <w:shd w:val="pct10" w:color="auto" w:fill="auto"/>
            <w:vAlign w:val="center"/>
          </w:tcPr>
          <w:p w14:paraId="639CA0FF"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Rights of Data Subjects:</w:t>
            </w:r>
          </w:p>
        </w:tc>
        <w:tc>
          <w:tcPr>
            <w:tcW w:w="8080" w:type="dxa"/>
            <w:gridSpan w:val="5"/>
            <w:vAlign w:val="center"/>
          </w:tcPr>
          <w:p w14:paraId="0AD9387F" w14:textId="77777777" w:rsidR="00CE75F5" w:rsidRPr="008718B0" w:rsidRDefault="00CE75F5"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The data subject may exercise the following rights: Access, Rectification, Erasure, Restriction, Portability</w:t>
            </w:r>
          </w:p>
        </w:tc>
      </w:tr>
    </w:tbl>
    <w:p w14:paraId="06FDCE27" w14:textId="77777777" w:rsidR="00A235A4" w:rsidRPr="008718B0" w:rsidRDefault="00A235A4" w:rsidP="00A235A4">
      <w:pPr>
        <w:pStyle w:val="NormlWeb"/>
        <w:spacing w:before="120" w:beforeAutospacing="0" w:after="120" w:afterAutospacing="0"/>
        <w:ind w:left="1077"/>
        <w:jc w:val="both"/>
        <w:rPr>
          <w:b/>
          <w:color w:val="000000" w:themeColor="text1"/>
          <w:sz w:val="22"/>
          <w:szCs w:val="22"/>
        </w:rPr>
      </w:pPr>
    </w:p>
    <w:p w14:paraId="47BE03AE" w14:textId="713E883F" w:rsidR="00A32081" w:rsidRPr="008718B0" w:rsidRDefault="00812EAF" w:rsidP="00A235A4">
      <w:pPr>
        <w:pStyle w:val="NormlWeb"/>
        <w:numPr>
          <w:ilvl w:val="0"/>
          <w:numId w:val="12"/>
        </w:numPr>
        <w:spacing w:before="120" w:beforeAutospacing="0" w:after="120" w:afterAutospacing="0"/>
        <w:ind w:left="1077"/>
        <w:jc w:val="both"/>
        <w:rPr>
          <w:b/>
          <w:color w:val="000000" w:themeColor="text1"/>
          <w:sz w:val="22"/>
          <w:szCs w:val="22"/>
        </w:rPr>
      </w:pPr>
      <w:r w:rsidRPr="008718B0">
        <w:rPr>
          <w:b/>
          <w:bCs/>
          <w:color w:val="000000" w:themeColor="text1"/>
          <w:sz w:val="22"/>
          <w:szCs w:val="22"/>
          <w:lang w:val="en"/>
        </w:rPr>
        <w:t xml:space="preserve">Website </w:t>
      </w:r>
      <w:r w:rsidR="00A235A4" w:rsidRPr="008718B0">
        <w:rPr>
          <w:b/>
          <w:bCs/>
          <w:color w:val="000000" w:themeColor="text1"/>
          <w:sz w:val="22"/>
          <w:szCs w:val="22"/>
          <w:lang w:val="en"/>
        </w:rPr>
        <w:t>Cookies</w:t>
      </w:r>
    </w:p>
    <w:p w14:paraId="5F9FFCC8" w14:textId="6B2CECFF" w:rsidR="008D3F4E" w:rsidRPr="008718B0" w:rsidRDefault="008D3F4E" w:rsidP="00A235A4">
      <w:pPr>
        <w:pStyle w:val="NormlWeb"/>
        <w:spacing w:before="120" w:beforeAutospacing="0" w:after="120" w:afterAutospacing="0"/>
        <w:jc w:val="both"/>
        <w:rPr>
          <w:bCs/>
          <w:color w:val="000000" w:themeColor="text1"/>
          <w:sz w:val="22"/>
          <w:szCs w:val="22"/>
          <w:shd w:val="clear" w:color="auto" w:fill="FFFFFF"/>
        </w:rPr>
      </w:pPr>
      <w:r w:rsidRPr="008718B0">
        <w:rPr>
          <w:color w:val="000000" w:themeColor="text1"/>
          <w:sz w:val="22"/>
          <w:szCs w:val="22"/>
          <w:shd w:val="clear" w:color="auto" w:fill="FFFFFF"/>
          <w:lang w:val="en"/>
        </w:rPr>
        <w:t xml:space="preserve">Cookies are small programs that help the functional operation of the website you are visiting, </w:t>
      </w:r>
      <w:r w:rsidR="00A235A4" w:rsidRPr="008718B0">
        <w:rPr>
          <w:color w:val="000000" w:themeColor="text1"/>
          <w:sz w:val="22"/>
          <w:szCs w:val="22"/>
          <w:shd w:val="clear" w:color="auto" w:fill="FFFFFF"/>
          <w:lang w:val="en"/>
        </w:rPr>
        <w:t xml:space="preserve">and </w:t>
      </w:r>
      <w:r w:rsidRPr="008718B0">
        <w:rPr>
          <w:color w:val="000000" w:themeColor="text1"/>
          <w:sz w:val="22"/>
          <w:szCs w:val="22"/>
          <w:shd w:val="clear" w:color="auto" w:fill="FFFFFF"/>
          <w:lang w:val="en"/>
        </w:rPr>
        <w:t xml:space="preserve">collect data for traffic analysis purposes, or possibly for marketing purposes. When cookies are used, these small programs or data packets are sent to the user's computer and stored there for a certain </w:t>
      </w:r>
      <w:proofErr w:type="gramStart"/>
      <w:r w:rsidRPr="008718B0">
        <w:rPr>
          <w:color w:val="000000" w:themeColor="text1"/>
          <w:sz w:val="22"/>
          <w:szCs w:val="22"/>
          <w:shd w:val="clear" w:color="auto" w:fill="FFFFFF"/>
          <w:lang w:val="en"/>
        </w:rPr>
        <w:t>period of time</w:t>
      </w:r>
      <w:proofErr w:type="gramEnd"/>
      <w:r w:rsidRPr="008718B0">
        <w:rPr>
          <w:color w:val="000000" w:themeColor="text1"/>
          <w:sz w:val="22"/>
          <w:szCs w:val="22"/>
          <w:shd w:val="clear" w:color="auto" w:fill="FFFFFF"/>
          <w:lang w:val="en"/>
        </w:rPr>
        <w:t xml:space="preserve">. Cookies may come either from the website you are visiting or from a third party. Cookies allow a website to “remember” certain actions or preferences of the user. Cookies help to identify users, record users' individual settings related to the use of the </w:t>
      </w:r>
      <w:proofErr w:type="gramStart"/>
      <w:r w:rsidRPr="008718B0">
        <w:rPr>
          <w:color w:val="000000" w:themeColor="text1"/>
          <w:sz w:val="22"/>
          <w:szCs w:val="22"/>
          <w:shd w:val="clear" w:color="auto" w:fill="FFFFFF"/>
          <w:lang w:val="en"/>
        </w:rPr>
        <w:t>website, and</w:t>
      </w:r>
      <w:proofErr w:type="gramEnd"/>
      <w:r w:rsidRPr="008718B0">
        <w:rPr>
          <w:color w:val="000000" w:themeColor="text1"/>
          <w:sz w:val="22"/>
          <w:szCs w:val="22"/>
          <w:shd w:val="clear" w:color="auto" w:fill="FFFFFF"/>
          <w:lang w:val="en"/>
        </w:rPr>
        <w:t xml:space="preserve"> allow users to use the websites without having to re-enter data (e.g. </w:t>
      </w:r>
      <w:r w:rsidR="00A235A4" w:rsidRPr="008718B0">
        <w:rPr>
          <w:color w:val="000000" w:themeColor="text1"/>
          <w:sz w:val="22"/>
          <w:szCs w:val="22"/>
          <w:shd w:val="clear" w:color="auto" w:fill="FFFFFF"/>
          <w:lang w:val="en"/>
        </w:rPr>
        <w:t>memorizing</w:t>
      </w:r>
      <w:r w:rsidRPr="008718B0">
        <w:rPr>
          <w:color w:val="000000" w:themeColor="text1"/>
          <w:sz w:val="22"/>
          <w:szCs w:val="22"/>
          <w:shd w:val="clear" w:color="auto" w:fill="FFFFFF"/>
          <w:lang w:val="en"/>
        </w:rPr>
        <w:t xml:space="preserve"> passwords).</w:t>
      </w:r>
    </w:p>
    <w:p w14:paraId="17B164F1" w14:textId="21A251E8" w:rsidR="00A53C94" w:rsidRPr="008718B0" w:rsidRDefault="00E029D0" w:rsidP="00A235A4">
      <w:pPr>
        <w:pStyle w:val="NormlWeb"/>
        <w:spacing w:before="120" w:beforeAutospacing="0" w:after="120" w:afterAutospacing="0"/>
        <w:jc w:val="both"/>
        <w:rPr>
          <w:bCs/>
          <w:color w:val="000000" w:themeColor="text1"/>
          <w:sz w:val="22"/>
          <w:szCs w:val="22"/>
          <w:shd w:val="clear" w:color="auto" w:fill="FFFFFF"/>
        </w:rPr>
      </w:pPr>
      <w:r w:rsidRPr="008718B0">
        <w:rPr>
          <w:color w:val="000000" w:themeColor="text1"/>
          <w:sz w:val="22"/>
          <w:szCs w:val="22"/>
          <w:shd w:val="clear" w:color="auto" w:fill="FFFFFF"/>
          <w:lang w:val="en"/>
        </w:rPr>
        <w:t xml:space="preserve">Browsers allow cookies to be installed on your computer or other device only with your consent. Completely disabling cookies may limit the usability of the website or may prevent you from using certain functions on </w:t>
      </w:r>
      <w:r w:rsidR="00A235A4" w:rsidRPr="008718B0">
        <w:rPr>
          <w:color w:val="000000" w:themeColor="text1"/>
          <w:sz w:val="22"/>
          <w:szCs w:val="22"/>
          <w:shd w:val="clear" w:color="auto" w:fill="FFFFFF"/>
          <w:lang w:val="en"/>
        </w:rPr>
        <w:t>a</w:t>
      </w:r>
      <w:r w:rsidRPr="008718B0">
        <w:rPr>
          <w:color w:val="000000" w:themeColor="text1"/>
          <w:sz w:val="22"/>
          <w:szCs w:val="22"/>
          <w:shd w:val="clear" w:color="auto" w:fill="FFFFFF"/>
          <w:lang w:val="en"/>
        </w:rPr>
        <w:t xml:space="preserve"> specific page. Therefore, restricting the use of cookies that ensure the operation of the site is not recommended in contrast to restricting convenience or third-party cookies. You can set the use of cookies in each browser as follows:</w:t>
      </w:r>
    </w:p>
    <w:p w14:paraId="0B7A34B1" w14:textId="77777777" w:rsidR="00A53C94" w:rsidRPr="008718B0" w:rsidRDefault="00A53C94"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By accepting website cookies, you consent to their installation, and your consent will be stored for 30 days based on the rules applicable to convenience cookies.</w:t>
      </w:r>
    </w:p>
    <w:p w14:paraId="49C83856" w14:textId="77777777" w:rsidR="00A235A4" w:rsidRPr="008718B0" w:rsidRDefault="00A235A4" w:rsidP="00A235A4">
      <w:pPr>
        <w:pStyle w:val="NormlWeb"/>
        <w:spacing w:before="120" w:beforeAutospacing="0" w:after="120" w:afterAutospacing="0"/>
        <w:jc w:val="both"/>
        <w:rPr>
          <w:bCs/>
          <w:color w:val="000000" w:themeColor="text1"/>
          <w:sz w:val="22"/>
          <w:szCs w:val="22"/>
          <w:shd w:val="clear" w:color="auto" w:fill="FFFFFF"/>
        </w:rPr>
      </w:pPr>
    </w:p>
    <w:p w14:paraId="6A44142F" w14:textId="77777777" w:rsidR="00E029D0" w:rsidRPr="008718B0" w:rsidRDefault="00E029D0" w:rsidP="00A235A4">
      <w:pPr>
        <w:pStyle w:val="Listaszerbekezds"/>
        <w:numPr>
          <w:ilvl w:val="0"/>
          <w:numId w:val="23"/>
        </w:numPr>
        <w:spacing w:before="120" w:after="120" w:line="240" w:lineRule="auto"/>
        <w:rPr>
          <w:rFonts w:ascii="Times New Roman" w:eastAsia="Times New Roman" w:hAnsi="Times New Roman" w:cs="Times New Roman"/>
          <w:color w:val="000000" w:themeColor="text1"/>
        </w:rPr>
      </w:pPr>
      <w:r w:rsidRPr="008718B0">
        <w:rPr>
          <w:rFonts w:ascii="Times New Roman" w:eastAsia="Times New Roman" w:hAnsi="Times New Roman" w:cs="Times New Roman"/>
          <w:color w:val="000000" w:themeColor="text1"/>
        </w:rPr>
        <w:t>Internet Explorer:</w:t>
      </w:r>
      <w:r w:rsidRPr="008718B0">
        <w:rPr>
          <w:rFonts w:ascii="Times New Roman" w:eastAsia="Times New Roman" w:hAnsi="Times New Roman" w:cs="Times New Roman"/>
          <w:color w:val="000000" w:themeColor="text1"/>
        </w:rPr>
        <w:br/>
      </w:r>
      <w:hyperlink r:id="rId8" w:tgtFrame="_blank" w:history="1">
        <w:r w:rsidRPr="008718B0">
          <w:rPr>
            <w:rFonts w:ascii="Times New Roman" w:eastAsia="Times New Roman" w:hAnsi="Times New Roman" w:cs="Times New Roman"/>
            <w:color w:val="000000" w:themeColor="text1"/>
            <w:u w:val="single"/>
          </w:rPr>
          <w:t>https://support.microsoft.com/hu-hu/help/17479/windows-internet-explorer-11-change-security-privacy-settings</w:t>
        </w:r>
      </w:hyperlink>
    </w:p>
    <w:p w14:paraId="50C73D85" w14:textId="77777777" w:rsidR="00E029D0" w:rsidRPr="008718B0" w:rsidRDefault="00E029D0" w:rsidP="00A235A4">
      <w:pPr>
        <w:pStyle w:val="Listaszerbekezds"/>
        <w:numPr>
          <w:ilvl w:val="0"/>
          <w:numId w:val="23"/>
        </w:numPr>
        <w:spacing w:before="120" w:after="120" w:line="240" w:lineRule="auto"/>
        <w:jc w:val="both"/>
        <w:rPr>
          <w:rFonts w:ascii="Times New Roman" w:eastAsia="Times New Roman" w:hAnsi="Times New Roman" w:cs="Times New Roman"/>
          <w:color w:val="000000" w:themeColor="text1"/>
        </w:rPr>
      </w:pPr>
      <w:r w:rsidRPr="008718B0">
        <w:rPr>
          <w:rFonts w:ascii="Times New Roman" w:eastAsia="Times New Roman" w:hAnsi="Times New Roman" w:cs="Times New Roman"/>
          <w:color w:val="000000" w:themeColor="text1"/>
        </w:rPr>
        <w:t>Firefox:</w:t>
      </w:r>
      <w:r w:rsidRPr="008718B0">
        <w:rPr>
          <w:rFonts w:ascii="Times New Roman" w:eastAsia="Times New Roman" w:hAnsi="Times New Roman" w:cs="Times New Roman"/>
          <w:color w:val="000000" w:themeColor="text1"/>
        </w:rPr>
        <w:br/>
      </w:r>
      <w:hyperlink r:id="rId9" w:tgtFrame="_blank" w:history="1">
        <w:r w:rsidRPr="008718B0">
          <w:rPr>
            <w:rFonts w:ascii="Times New Roman" w:eastAsia="Times New Roman" w:hAnsi="Times New Roman" w:cs="Times New Roman"/>
            <w:color w:val="000000" w:themeColor="text1"/>
            <w:u w:val="single"/>
          </w:rPr>
          <w:t>https://support.mozilla.org/hu/kb/sutik-engedelyezese-es-tiltasa-amit-weboldak-haszn</w:t>
        </w:r>
      </w:hyperlink>
    </w:p>
    <w:p w14:paraId="068FE71E" w14:textId="77777777" w:rsidR="00E029D0" w:rsidRPr="008718B0" w:rsidRDefault="00E029D0" w:rsidP="00A235A4">
      <w:pPr>
        <w:pStyle w:val="Listaszerbekezds"/>
        <w:numPr>
          <w:ilvl w:val="0"/>
          <w:numId w:val="23"/>
        </w:numPr>
        <w:spacing w:before="120" w:after="120" w:line="240" w:lineRule="auto"/>
        <w:rPr>
          <w:rFonts w:ascii="Times New Roman" w:eastAsia="Times New Roman" w:hAnsi="Times New Roman" w:cs="Times New Roman"/>
          <w:color w:val="000000" w:themeColor="text1"/>
        </w:rPr>
      </w:pPr>
      <w:r w:rsidRPr="008718B0">
        <w:rPr>
          <w:rFonts w:ascii="Times New Roman" w:eastAsia="Times New Roman" w:hAnsi="Times New Roman" w:cs="Times New Roman"/>
          <w:color w:val="000000" w:themeColor="text1"/>
          <w:lang w:val="en"/>
        </w:rPr>
        <w:t>Google Chrome:</w:t>
      </w:r>
      <w:r w:rsidRPr="008718B0">
        <w:rPr>
          <w:rFonts w:ascii="Times New Roman" w:eastAsia="Times New Roman" w:hAnsi="Times New Roman" w:cs="Times New Roman"/>
          <w:color w:val="000000" w:themeColor="text1"/>
          <w:lang w:val="en"/>
        </w:rPr>
        <w:br/>
      </w:r>
      <w:hyperlink r:id="rId10" w:history="1">
        <w:r w:rsidRPr="008718B0">
          <w:rPr>
            <w:rFonts w:ascii="Times New Roman" w:eastAsia="Times New Roman" w:hAnsi="Times New Roman" w:cs="Times New Roman"/>
            <w:color w:val="000000" w:themeColor="text1"/>
            <w:u w:val="single"/>
            <w:lang w:val="en"/>
          </w:rPr>
          <w:t>https://support.google.com/chrome/answer/95647?co=GENIE.Platform%3DDesktop&amp;hl=hu</w:t>
        </w:r>
      </w:hyperlink>
    </w:p>
    <w:p w14:paraId="59A22E88" w14:textId="77777777" w:rsidR="00E029D0" w:rsidRPr="008718B0" w:rsidRDefault="00E029D0" w:rsidP="00A235A4">
      <w:pPr>
        <w:pStyle w:val="Listaszerbekezds"/>
        <w:numPr>
          <w:ilvl w:val="0"/>
          <w:numId w:val="23"/>
        </w:numPr>
        <w:spacing w:before="120" w:after="120" w:line="240" w:lineRule="auto"/>
        <w:jc w:val="both"/>
        <w:rPr>
          <w:rFonts w:ascii="Times New Roman" w:eastAsia="Times New Roman" w:hAnsi="Times New Roman" w:cs="Times New Roman"/>
          <w:color w:val="000000" w:themeColor="text1"/>
        </w:rPr>
      </w:pPr>
      <w:proofErr w:type="spellStart"/>
      <w:r w:rsidRPr="008718B0">
        <w:rPr>
          <w:rFonts w:ascii="Times New Roman" w:eastAsia="Times New Roman" w:hAnsi="Times New Roman" w:cs="Times New Roman"/>
          <w:color w:val="000000" w:themeColor="text1"/>
        </w:rPr>
        <w:t>Safari</w:t>
      </w:r>
      <w:proofErr w:type="spellEnd"/>
      <w:r w:rsidRPr="008718B0">
        <w:rPr>
          <w:rFonts w:ascii="Times New Roman" w:eastAsia="Times New Roman" w:hAnsi="Times New Roman" w:cs="Times New Roman"/>
          <w:color w:val="000000" w:themeColor="text1"/>
        </w:rPr>
        <w:t>:</w:t>
      </w:r>
      <w:r w:rsidRPr="008718B0">
        <w:rPr>
          <w:rFonts w:ascii="Times New Roman" w:eastAsia="Times New Roman" w:hAnsi="Times New Roman" w:cs="Times New Roman"/>
          <w:color w:val="000000" w:themeColor="text1"/>
        </w:rPr>
        <w:br/>
      </w:r>
      <w:hyperlink r:id="rId11" w:history="1">
        <w:r w:rsidRPr="008718B0">
          <w:rPr>
            <w:rFonts w:ascii="Times New Roman" w:eastAsia="Times New Roman" w:hAnsi="Times New Roman" w:cs="Times New Roman"/>
            <w:color w:val="000000" w:themeColor="text1"/>
            <w:u w:val="single"/>
          </w:rPr>
          <w:t>https://support.apple.com/hu-hu/HT201265</w:t>
        </w:r>
      </w:hyperlink>
      <w:hyperlink r:id="rId12" w:history="1">
        <w:r w:rsidRPr="008718B0">
          <w:rPr>
            <w:rFonts w:ascii="Times New Roman" w:eastAsia="Times New Roman" w:hAnsi="Times New Roman" w:cs="Times New Roman"/>
            <w:color w:val="000000" w:themeColor="text1"/>
            <w:u w:val="single"/>
          </w:rPr>
          <w:t>https://support.apple.com/hu-hu/HT203987</w:t>
        </w:r>
      </w:hyperlink>
    </w:p>
    <w:p w14:paraId="2AEF5255" w14:textId="77777777" w:rsidR="00A235A4" w:rsidRPr="008718B0" w:rsidRDefault="00A235A4" w:rsidP="008718B0">
      <w:pPr>
        <w:spacing w:before="120" w:after="120" w:line="240" w:lineRule="auto"/>
        <w:jc w:val="both"/>
        <w:rPr>
          <w:rFonts w:ascii="Times New Roman" w:eastAsia="Times New Roman" w:hAnsi="Times New Roman" w:cs="Times New Roman"/>
          <w:color w:val="000000" w:themeColor="text1"/>
          <w:u w:val="single"/>
        </w:rPr>
      </w:pPr>
    </w:p>
    <w:p w14:paraId="4F0D33D9" w14:textId="77777777" w:rsidR="00A235A4" w:rsidRPr="008718B0" w:rsidRDefault="00A235A4" w:rsidP="00A235A4">
      <w:pPr>
        <w:pStyle w:val="Listaszerbekezds"/>
        <w:spacing w:before="120" w:after="120" w:line="240" w:lineRule="auto"/>
        <w:ind w:left="1077"/>
        <w:jc w:val="both"/>
        <w:rPr>
          <w:rFonts w:ascii="Times New Roman" w:eastAsia="Times New Roman" w:hAnsi="Times New Roman" w:cs="Times New Roman"/>
          <w:color w:val="000000" w:themeColor="text1"/>
          <w:u w:val="single"/>
        </w:rPr>
      </w:pPr>
    </w:p>
    <w:p w14:paraId="155A34FC" w14:textId="77777777" w:rsidR="00A235A4" w:rsidRPr="008718B0" w:rsidRDefault="00A235A4" w:rsidP="00A235A4">
      <w:pPr>
        <w:pStyle w:val="Listaszerbekezds"/>
        <w:spacing w:before="120" w:after="120" w:line="240" w:lineRule="auto"/>
        <w:ind w:left="1077"/>
        <w:jc w:val="both"/>
        <w:rPr>
          <w:rFonts w:ascii="Times New Roman" w:eastAsia="Times New Roman" w:hAnsi="Times New Roman" w:cs="Times New Roman"/>
          <w:color w:val="000000" w:themeColor="text1"/>
          <w:u w:val="single"/>
        </w:rPr>
      </w:pPr>
    </w:p>
    <w:p w14:paraId="2396F798" w14:textId="77777777" w:rsidR="00A235A4" w:rsidRPr="008718B0" w:rsidRDefault="00A235A4" w:rsidP="00A235A4">
      <w:pPr>
        <w:pStyle w:val="Listaszerbekezds"/>
        <w:spacing w:before="120" w:after="120" w:line="240" w:lineRule="auto"/>
        <w:ind w:left="1077"/>
        <w:jc w:val="both"/>
        <w:rPr>
          <w:rFonts w:ascii="Times New Roman" w:eastAsia="Times New Roman" w:hAnsi="Times New Roman" w:cs="Times New Roman"/>
          <w:color w:val="000000" w:themeColor="text1"/>
          <w:u w:val="single"/>
        </w:rPr>
      </w:pPr>
    </w:p>
    <w:p w14:paraId="6BD5AAA4" w14:textId="77777777" w:rsidR="00A235A4" w:rsidRPr="008718B0" w:rsidRDefault="00A235A4" w:rsidP="00A235A4">
      <w:pPr>
        <w:pStyle w:val="Listaszerbekezds"/>
        <w:spacing w:before="120" w:after="120" w:line="240" w:lineRule="auto"/>
        <w:ind w:left="1077"/>
        <w:jc w:val="both"/>
        <w:rPr>
          <w:rFonts w:ascii="Times New Roman" w:eastAsia="Times New Roman" w:hAnsi="Times New Roman" w:cs="Times New Roman"/>
          <w:color w:val="000000" w:themeColor="text1"/>
        </w:rPr>
      </w:pPr>
    </w:p>
    <w:tbl>
      <w:tblPr>
        <w:tblStyle w:val="Rcsostblzat"/>
        <w:tblW w:w="10207" w:type="dxa"/>
        <w:tblInd w:w="-431" w:type="dxa"/>
        <w:tblLook w:val="04A0" w:firstRow="1" w:lastRow="0" w:firstColumn="1" w:lastColumn="0" w:noHBand="0" w:noVBand="1"/>
      </w:tblPr>
      <w:tblGrid>
        <w:gridCol w:w="2117"/>
        <w:gridCol w:w="1635"/>
        <w:gridCol w:w="1646"/>
        <w:gridCol w:w="1515"/>
        <w:gridCol w:w="1483"/>
        <w:gridCol w:w="1811"/>
      </w:tblGrid>
      <w:tr w:rsidR="00C871F0" w:rsidRPr="008718B0" w14:paraId="3741D901" w14:textId="77777777" w:rsidTr="00823E03">
        <w:tc>
          <w:tcPr>
            <w:tcW w:w="2117" w:type="dxa"/>
            <w:shd w:val="pct10" w:color="auto" w:fill="auto"/>
            <w:vAlign w:val="center"/>
          </w:tcPr>
          <w:p w14:paraId="3DDFFFEF"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Purpose</w:t>
            </w:r>
          </w:p>
        </w:tc>
        <w:tc>
          <w:tcPr>
            <w:tcW w:w="1635" w:type="dxa"/>
            <w:shd w:val="pct10" w:color="auto" w:fill="auto"/>
            <w:vAlign w:val="center"/>
          </w:tcPr>
          <w:p w14:paraId="556A3636"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Legal basis </w:t>
            </w:r>
          </w:p>
          <w:p w14:paraId="66AE8CE8"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Paragraph (1) of Article 6 of the GDPR</w:t>
            </w:r>
          </w:p>
        </w:tc>
        <w:tc>
          <w:tcPr>
            <w:tcW w:w="1646" w:type="dxa"/>
            <w:shd w:val="pct10" w:color="auto" w:fill="auto"/>
            <w:vAlign w:val="center"/>
          </w:tcPr>
          <w:p w14:paraId="51609192"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Subjects concerned</w:t>
            </w:r>
          </w:p>
        </w:tc>
        <w:tc>
          <w:tcPr>
            <w:tcW w:w="1515" w:type="dxa"/>
            <w:shd w:val="pct10" w:color="auto" w:fill="auto"/>
            <w:vAlign w:val="center"/>
          </w:tcPr>
          <w:p w14:paraId="00BD8075"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w:t>
            </w:r>
          </w:p>
        </w:tc>
        <w:tc>
          <w:tcPr>
            <w:tcW w:w="1483" w:type="dxa"/>
            <w:shd w:val="pct10" w:color="auto" w:fill="auto"/>
            <w:vAlign w:val="center"/>
          </w:tcPr>
          <w:p w14:paraId="00F5C9FF"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Retention period</w:t>
            </w:r>
          </w:p>
        </w:tc>
        <w:tc>
          <w:tcPr>
            <w:tcW w:w="1811" w:type="dxa"/>
            <w:shd w:val="pct10" w:color="auto" w:fill="auto"/>
            <w:vAlign w:val="center"/>
          </w:tcPr>
          <w:p w14:paraId="7052E5AC"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Source of data</w:t>
            </w:r>
          </w:p>
        </w:tc>
      </w:tr>
      <w:tr w:rsidR="00C871F0" w:rsidRPr="008718B0" w14:paraId="12F263A6" w14:textId="77777777" w:rsidTr="00823E03">
        <w:tc>
          <w:tcPr>
            <w:tcW w:w="2117" w:type="dxa"/>
            <w:vAlign w:val="center"/>
          </w:tcPr>
          <w:p w14:paraId="742EBAAD" w14:textId="77777777" w:rsidR="00C45E14" w:rsidRPr="008718B0" w:rsidRDefault="00C45E14"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lastRenderedPageBreak/>
              <w:t>Session cookies</w:t>
            </w:r>
          </w:p>
        </w:tc>
        <w:tc>
          <w:tcPr>
            <w:tcW w:w="1635" w:type="dxa"/>
            <w:vMerge w:val="restart"/>
            <w:vAlign w:val="center"/>
          </w:tcPr>
          <w:p w14:paraId="3FBC6B58" w14:textId="77777777" w:rsidR="00C45E14" w:rsidRPr="008718B0" w:rsidRDefault="00C45E14" w:rsidP="00A235A4">
            <w:pPr>
              <w:pStyle w:val="NormlWeb"/>
              <w:spacing w:before="120" w:beforeAutospacing="0" w:after="120" w:afterAutospacing="0"/>
              <w:ind w:left="11"/>
              <w:jc w:val="both"/>
              <w:rPr>
                <w:color w:val="000000" w:themeColor="text1"/>
                <w:sz w:val="22"/>
                <w:szCs w:val="22"/>
              </w:rPr>
            </w:pPr>
            <w:r w:rsidRPr="008718B0">
              <w:rPr>
                <w:color w:val="000000" w:themeColor="text1"/>
                <w:sz w:val="22"/>
                <w:szCs w:val="22"/>
                <w:lang w:val="en"/>
              </w:rPr>
              <w:t>a) – the data subject’s consent</w:t>
            </w:r>
          </w:p>
        </w:tc>
        <w:tc>
          <w:tcPr>
            <w:tcW w:w="1646" w:type="dxa"/>
            <w:vMerge w:val="restart"/>
            <w:vAlign w:val="center"/>
          </w:tcPr>
          <w:p w14:paraId="3A6EE968" w14:textId="77777777" w:rsidR="00C45E14" w:rsidRPr="008718B0" w:rsidRDefault="00C45E14"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Registered persons</w:t>
            </w:r>
          </w:p>
        </w:tc>
        <w:tc>
          <w:tcPr>
            <w:tcW w:w="1515" w:type="dxa"/>
            <w:vAlign w:val="center"/>
          </w:tcPr>
          <w:p w14:paraId="4BFD1DD6" w14:textId="77777777" w:rsidR="00C45E14" w:rsidRPr="008718B0" w:rsidRDefault="00C45E14"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Browsing operations</w:t>
            </w:r>
          </w:p>
        </w:tc>
        <w:tc>
          <w:tcPr>
            <w:tcW w:w="1483" w:type="dxa"/>
            <w:vAlign w:val="center"/>
          </w:tcPr>
          <w:p w14:paraId="486E7987" w14:textId="77777777" w:rsidR="00C45E14" w:rsidRPr="008718B0" w:rsidRDefault="00C45E14"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Session</w:t>
            </w:r>
          </w:p>
        </w:tc>
        <w:tc>
          <w:tcPr>
            <w:tcW w:w="1811" w:type="dxa"/>
            <w:vMerge w:val="restart"/>
            <w:vAlign w:val="center"/>
          </w:tcPr>
          <w:p w14:paraId="51390144" w14:textId="77777777" w:rsidR="00C45E14" w:rsidRPr="008718B0" w:rsidRDefault="00C45E14"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Subject’s IT device</w:t>
            </w:r>
          </w:p>
        </w:tc>
      </w:tr>
      <w:tr w:rsidR="00C871F0" w:rsidRPr="008718B0" w14:paraId="05B8482E" w14:textId="77777777" w:rsidTr="00823E03">
        <w:tc>
          <w:tcPr>
            <w:tcW w:w="2117" w:type="dxa"/>
            <w:vAlign w:val="center"/>
          </w:tcPr>
          <w:p w14:paraId="77E597E4" w14:textId="6057EE8F" w:rsidR="00C45E14" w:rsidRPr="008718B0" w:rsidRDefault="00A176D1"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Analytical </w:t>
            </w:r>
            <w:r w:rsidR="00C45E14" w:rsidRPr="008718B0">
              <w:rPr>
                <w:color w:val="000000" w:themeColor="text1"/>
                <w:sz w:val="22"/>
                <w:szCs w:val="22"/>
                <w:lang w:val="en"/>
              </w:rPr>
              <w:t>cookies</w:t>
            </w:r>
          </w:p>
        </w:tc>
        <w:tc>
          <w:tcPr>
            <w:tcW w:w="1635" w:type="dxa"/>
            <w:vMerge/>
            <w:vAlign w:val="center"/>
          </w:tcPr>
          <w:p w14:paraId="3E00F5B2" w14:textId="77777777" w:rsidR="00C45E14" w:rsidRPr="008718B0" w:rsidRDefault="00C45E14" w:rsidP="00A235A4">
            <w:pPr>
              <w:pStyle w:val="NormlWeb"/>
              <w:spacing w:before="120" w:beforeAutospacing="0" w:after="120" w:afterAutospacing="0"/>
              <w:ind w:left="11"/>
              <w:jc w:val="both"/>
              <w:rPr>
                <w:color w:val="000000" w:themeColor="text1"/>
                <w:sz w:val="22"/>
                <w:szCs w:val="22"/>
              </w:rPr>
            </w:pPr>
          </w:p>
        </w:tc>
        <w:tc>
          <w:tcPr>
            <w:tcW w:w="1646" w:type="dxa"/>
            <w:vMerge/>
            <w:vAlign w:val="center"/>
          </w:tcPr>
          <w:p w14:paraId="45DE8ED9" w14:textId="77777777" w:rsidR="00C45E14" w:rsidRPr="008718B0" w:rsidRDefault="00C45E14" w:rsidP="00A235A4">
            <w:pPr>
              <w:pStyle w:val="NormlWeb"/>
              <w:spacing w:before="120" w:beforeAutospacing="0" w:after="120" w:afterAutospacing="0"/>
              <w:jc w:val="both"/>
              <w:rPr>
                <w:color w:val="000000" w:themeColor="text1"/>
                <w:sz w:val="22"/>
                <w:szCs w:val="22"/>
              </w:rPr>
            </w:pPr>
          </w:p>
        </w:tc>
        <w:tc>
          <w:tcPr>
            <w:tcW w:w="1515" w:type="dxa"/>
            <w:vAlign w:val="center"/>
          </w:tcPr>
          <w:p w14:paraId="061AE4DD" w14:textId="77777777" w:rsidR="00C45E14" w:rsidRPr="008718B0" w:rsidRDefault="00C45E14"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Website settings</w:t>
            </w:r>
          </w:p>
        </w:tc>
        <w:tc>
          <w:tcPr>
            <w:tcW w:w="1483" w:type="dxa"/>
            <w:vAlign w:val="center"/>
          </w:tcPr>
          <w:p w14:paraId="50CAB771" w14:textId="2867BDCA" w:rsidR="00C45E14" w:rsidRPr="008718B0" w:rsidRDefault="00A176D1"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90 </w:t>
            </w:r>
            <w:r w:rsidR="00C45E14" w:rsidRPr="008718B0">
              <w:rPr>
                <w:color w:val="000000" w:themeColor="text1"/>
                <w:sz w:val="22"/>
                <w:szCs w:val="22"/>
                <w:lang w:val="en"/>
              </w:rPr>
              <w:t>days</w:t>
            </w:r>
          </w:p>
        </w:tc>
        <w:tc>
          <w:tcPr>
            <w:tcW w:w="1811" w:type="dxa"/>
            <w:vMerge/>
            <w:vAlign w:val="center"/>
          </w:tcPr>
          <w:p w14:paraId="0BEC5CFF" w14:textId="77777777" w:rsidR="00C45E14" w:rsidRPr="008718B0" w:rsidRDefault="00C45E14" w:rsidP="00A235A4">
            <w:pPr>
              <w:pStyle w:val="NormlWeb"/>
              <w:spacing w:before="120" w:beforeAutospacing="0" w:after="120" w:afterAutospacing="0"/>
              <w:jc w:val="both"/>
              <w:rPr>
                <w:color w:val="000000" w:themeColor="text1"/>
                <w:sz w:val="22"/>
                <w:szCs w:val="22"/>
              </w:rPr>
            </w:pPr>
          </w:p>
        </w:tc>
      </w:tr>
      <w:tr w:rsidR="00C871F0" w:rsidRPr="008718B0" w14:paraId="059414F0" w14:textId="77777777" w:rsidTr="00823E03">
        <w:tc>
          <w:tcPr>
            <w:tcW w:w="2117" w:type="dxa"/>
            <w:shd w:val="pct10" w:color="auto" w:fill="auto"/>
            <w:vAlign w:val="center"/>
          </w:tcPr>
          <w:p w14:paraId="624199C6"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Transmission of data:</w:t>
            </w:r>
          </w:p>
        </w:tc>
        <w:tc>
          <w:tcPr>
            <w:tcW w:w="8090" w:type="dxa"/>
            <w:gridSpan w:val="5"/>
            <w:vAlign w:val="center"/>
          </w:tcPr>
          <w:p w14:paraId="09B52689" w14:textId="2EE8C00E"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Data </w:t>
            </w:r>
            <w:r w:rsidR="00431965" w:rsidRPr="008718B0">
              <w:rPr>
                <w:color w:val="000000" w:themeColor="text1"/>
                <w:sz w:val="22"/>
                <w:szCs w:val="22"/>
                <w:lang w:val="en"/>
              </w:rPr>
              <w:t xml:space="preserve">transferred to the Analytical </w:t>
            </w:r>
            <w:proofErr w:type="spellStart"/>
            <w:r w:rsidR="00431965" w:rsidRPr="008718B0">
              <w:rPr>
                <w:color w:val="000000" w:themeColor="text1"/>
                <w:sz w:val="22"/>
                <w:szCs w:val="22"/>
                <w:lang w:val="en"/>
              </w:rPr>
              <w:t>subprocessors</w:t>
            </w:r>
            <w:proofErr w:type="spellEnd"/>
          </w:p>
        </w:tc>
      </w:tr>
      <w:tr w:rsidR="00C871F0" w:rsidRPr="008718B0" w14:paraId="2EB88177" w14:textId="77777777" w:rsidTr="00823E03">
        <w:tc>
          <w:tcPr>
            <w:tcW w:w="2117" w:type="dxa"/>
            <w:shd w:val="pct10" w:color="auto" w:fill="auto"/>
            <w:vAlign w:val="center"/>
          </w:tcPr>
          <w:p w14:paraId="1CF3F363"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Data processor:</w:t>
            </w:r>
          </w:p>
        </w:tc>
        <w:tc>
          <w:tcPr>
            <w:tcW w:w="8090" w:type="dxa"/>
            <w:gridSpan w:val="5"/>
            <w:vAlign w:val="center"/>
          </w:tcPr>
          <w:p w14:paraId="55CCD948"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None</w:t>
            </w:r>
          </w:p>
        </w:tc>
      </w:tr>
      <w:tr w:rsidR="00C871F0" w:rsidRPr="008718B0" w14:paraId="012B37A6" w14:textId="77777777" w:rsidTr="00823E03">
        <w:tc>
          <w:tcPr>
            <w:tcW w:w="2117" w:type="dxa"/>
            <w:shd w:val="pct10" w:color="auto" w:fill="auto"/>
            <w:vAlign w:val="center"/>
          </w:tcPr>
          <w:p w14:paraId="774B71B1"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Rights of Data Subjects:</w:t>
            </w:r>
          </w:p>
        </w:tc>
        <w:tc>
          <w:tcPr>
            <w:tcW w:w="8090" w:type="dxa"/>
            <w:gridSpan w:val="5"/>
            <w:vAlign w:val="center"/>
          </w:tcPr>
          <w:p w14:paraId="24558DBC" w14:textId="77777777" w:rsidR="00E029D0" w:rsidRPr="008718B0" w:rsidRDefault="00E029D0"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The data subject may exercise the following rights: Access, Rectification, Erasure, Restriction, Portability </w:t>
            </w:r>
          </w:p>
        </w:tc>
      </w:tr>
    </w:tbl>
    <w:p w14:paraId="4C851DFE" w14:textId="77777777" w:rsidR="00A235A4" w:rsidRPr="008718B0" w:rsidRDefault="00A235A4" w:rsidP="00A235A4">
      <w:pPr>
        <w:pStyle w:val="NormlWeb"/>
        <w:spacing w:before="120" w:beforeAutospacing="0" w:after="120" w:afterAutospacing="0"/>
        <w:ind w:left="644"/>
        <w:jc w:val="both"/>
        <w:rPr>
          <w:rStyle w:val="Kiemels2"/>
          <w:b w:val="0"/>
          <w:bCs w:val="0"/>
          <w:color w:val="000000" w:themeColor="text1"/>
          <w:sz w:val="22"/>
          <w:szCs w:val="22"/>
        </w:rPr>
      </w:pPr>
    </w:p>
    <w:p w14:paraId="6501994A" w14:textId="212611C9" w:rsidR="00B5575F" w:rsidRPr="008718B0" w:rsidRDefault="00E029D0" w:rsidP="00A235A4">
      <w:pPr>
        <w:pStyle w:val="NormlWeb"/>
        <w:numPr>
          <w:ilvl w:val="0"/>
          <w:numId w:val="22"/>
        </w:numPr>
        <w:spacing w:before="120" w:beforeAutospacing="0" w:after="120" w:afterAutospacing="0"/>
        <w:jc w:val="both"/>
        <w:rPr>
          <w:color w:val="000000" w:themeColor="text1"/>
          <w:sz w:val="22"/>
          <w:szCs w:val="22"/>
        </w:rPr>
      </w:pPr>
      <w:r w:rsidRPr="008718B0">
        <w:rPr>
          <w:rStyle w:val="Kiemels2"/>
          <w:color w:val="000000" w:themeColor="text1"/>
          <w:sz w:val="22"/>
          <w:szCs w:val="22"/>
          <w:u w:val="single"/>
          <w:lang w:val="en"/>
        </w:rPr>
        <w:t xml:space="preserve">Recipients of </w:t>
      </w:r>
      <w:r w:rsidR="00930DD7" w:rsidRPr="008718B0">
        <w:rPr>
          <w:rStyle w:val="Kiemels2"/>
          <w:color w:val="000000" w:themeColor="text1"/>
          <w:sz w:val="22"/>
          <w:szCs w:val="22"/>
          <w:u w:val="single"/>
          <w:lang w:val="en"/>
        </w:rPr>
        <w:t>Data</w:t>
      </w:r>
    </w:p>
    <w:p w14:paraId="096286A0" w14:textId="77777777" w:rsidR="00B5575F" w:rsidRPr="008718B0" w:rsidRDefault="00B5575F" w:rsidP="00A235A4">
      <w:pPr>
        <w:pStyle w:val="NormlWeb"/>
        <w:spacing w:before="120" w:beforeAutospacing="0" w:after="120" w:afterAutospacing="0"/>
        <w:jc w:val="both"/>
        <w:rPr>
          <w:color w:val="000000" w:themeColor="text1"/>
          <w:sz w:val="22"/>
          <w:szCs w:val="22"/>
          <w:shd w:val="clear" w:color="auto" w:fill="FFFFFF"/>
          <w:lang w:val="en"/>
        </w:rPr>
      </w:pPr>
      <w:r w:rsidRPr="008718B0">
        <w:rPr>
          <w:color w:val="000000" w:themeColor="text1"/>
          <w:sz w:val="22"/>
          <w:szCs w:val="22"/>
          <w:shd w:val="clear" w:color="auto" w:fill="FFFFFF"/>
          <w:lang w:val="en"/>
        </w:rPr>
        <w:t xml:space="preserve">The data provided can only be seen by the </w:t>
      </w:r>
      <w:r w:rsidRPr="008718B0">
        <w:rPr>
          <w:b/>
          <w:bCs/>
          <w:color w:val="000000" w:themeColor="text1"/>
          <w:sz w:val="22"/>
          <w:szCs w:val="22"/>
          <w:shd w:val="clear" w:color="auto" w:fill="FFFFFF"/>
          <w:lang w:val="en"/>
        </w:rPr>
        <w:t>Data Controller</w:t>
      </w:r>
      <w:r w:rsidRPr="008718B0">
        <w:rPr>
          <w:color w:val="000000" w:themeColor="text1"/>
          <w:sz w:val="22"/>
          <w:szCs w:val="22"/>
          <w:shd w:val="clear" w:color="auto" w:fill="FFFFFF"/>
          <w:lang w:val="en"/>
        </w:rPr>
        <w:t xml:space="preserve"> as well as by the employees of the </w:t>
      </w:r>
      <w:r w:rsidRPr="008718B0">
        <w:rPr>
          <w:b/>
          <w:bCs/>
          <w:color w:val="000000" w:themeColor="text1"/>
          <w:sz w:val="22"/>
          <w:szCs w:val="22"/>
          <w:shd w:val="clear" w:color="auto" w:fill="FFFFFF"/>
          <w:lang w:val="en"/>
        </w:rPr>
        <w:t>Data Controller</w:t>
      </w:r>
      <w:r w:rsidRPr="008718B0">
        <w:rPr>
          <w:color w:val="000000" w:themeColor="text1"/>
          <w:sz w:val="22"/>
          <w:szCs w:val="22"/>
          <w:shd w:val="clear" w:color="auto" w:fill="FFFFFF"/>
          <w:lang w:val="en"/>
        </w:rPr>
        <w:t xml:space="preserve"> to the extent they need it for their work. Your personal data will not be transferred to third parties except where it is required by the law.</w:t>
      </w:r>
    </w:p>
    <w:p w14:paraId="2143613D" w14:textId="77777777" w:rsidR="00C871F0" w:rsidRPr="008718B0" w:rsidRDefault="00C871F0" w:rsidP="00A235A4">
      <w:pPr>
        <w:pStyle w:val="NormlWeb"/>
        <w:spacing w:before="120" w:beforeAutospacing="0" w:after="120" w:afterAutospacing="0"/>
        <w:jc w:val="both"/>
        <w:rPr>
          <w:color w:val="000000" w:themeColor="text1"/>
          <w:sz w:val="22"/>
          <w:szCs w:val="22"/>
          <w:shd w:val="clear" w:color="auto" w:fill="FFFFFF"/>
        </w:rPr>
      </w:pPr>
    </w:p>
    <w:p w14:paraId="23D35A54" w14:textId="77777777" w:rsidR="002C27DF" w:rsidRPr="008718B0" w:rsidRDefault="002C27DF" w:rsidP="00A235A4">
      <w:pPr>
        <w:pStyle w:val="NormlWeb"/>
        <w:numPr>
          <w:ilvl w:val="0"/>
          <w:numId w:val="22"/>
        </w:numPr>
        <w:spacing w:before="120" w:beforeAutospacing="0" w:after="120" w:afterAutospacing="0"/>
        <w:jc w:val="both"/>
        <w:rPr>
          <w:rStyle w:val="Kiemels2"/>
          <w:color w:val="000000" w:themeColor="text1"/>
          <w:sz w:val="22"/>
          <w:szCs w:val="22"/>
          <w:u w:val="single"/>
        </w:rPr>
      </w:pPr>
      <w:r w:rsidRPr="008718B0">
        <w:rPr>
          <w:rStyle w:val="Kiemels2"/>
          <w:color w:val="000000" w:themeColor="text1"/>
          <w:sz w:val="22"/>
          <w:szCs w:val="22"/>
          <w:u w:val="single"/>
          <w:lang w:val="en"/>
        </w:rPr>
        <w:t>The Rights of Data Subjects</w:t>
      </w:r>
    </w:p>
    <w:p w14:paraId="7E3D16D0" w14:textId="77777777" w:rsidR="00B5575F" w:rsidRPr="008718B0" w:rsidRDefault="002C27DF" w:rsidP="00A235A4">
      <w:pPr>
        <w:pStyle w:val="NormlWeb"/>
        <w:numPr>
          <w:ilvl w:val="1"/>
          <w:numId w:val="1"/>
        </w:numPr>
        <w:spacing w:before="120" w:beforeAutospacing="0" w:after="120" w:afterAutospacing="0"/>
        <w:ind w:left="1134"/>
        <w:jc w:val="both"/>
        <w:rPr>
          <w:color w:val="000000" w:themeColor="text1"/>
          <w:sz w:val="22"/>
          <w:szCs w:val="22"/>
        </w:rPr>
      </w:pPr>
      <w:r w:rsidRPr="008718B0">
        <w:rPr>
          <w:b/>
          <w:bCs/>
          <w:color w:val="000000" w:themeColor="text1"/>
          <w:sz w:val="22"/>
          <w:szCs w:val="22"/>
          <w:lang w:val="en"/>
        </w:rPr>
        <w:t>Right to access (Article 15 of the GDPR)</w:t>
      </w:r>
    </w:p>
    <w:p w14:paraId="08A122A6" w14:textId="77777777" w:rsidR="002C27DF" w:rsidRPr="008718B0" w:rsidRDefault="00B5575F"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shd w:val="clear" w:color="auto" w:fill="FFFFFF"/>
          <w:lang w:val="en"/>
        </w:rPr>
        <w:t xml:space="preserve">The Data Subject is entitled at any time to request information about the personal data relating to him/her that </w:t>
      </w:r>
      <w:proofErr w:type="gramStart"/>
      <w:r w:rsidRPr="008718B0">
        <w:rPr>
          <w:color w:val="000000" w:themeColor="text1"/>
          <w:sz w:val="22"/>
          <w:szCs w:val="22"/>
          <w:shd w:val="clear" w:color="auto" w:fill="FFFFFF"/>
          <w:lang w:val="en"/>
        </w:rPr>
        <w:t>are</w:t>
      </w:r>
      <w:proofErr w:type="gramEnd"/>
      <w:r w:rsidRPr="008718B0">
        <w:rPr>
          <w:color w:val="000000" w:themeColor="text1"/>
          <w:sz w:val="22"/>
          <w:szCs w:val="22"/>
          <w:shd w:val="clear" w:color="auto" w:fill="FFFFFF"/>
          <w:lang w:val="en"/>
        </w:rPr>
        <w:t xml:space="preserve"> being processed. At the request of the Data Subject, the Data Controller shall provide information on the processed personal data relating to the Data Subject, the purpose, legal basis and duration of the data processing, and the legal basis and recipients of any data transfer. The Data Controller shall provide the requested information in a reasonably understandable way in writing as soon as possible but no later than within a month after submission of the relevant request.</w:t>
      </w:r>
    </w:p>
    <w:p w14:paraId="28BB022A" w14:textId="77777777" w:rsidR="00B5575F" w:rsidRPr="008718B0" w:rsidRDefault="002C27DF"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lang w:val="en"/>
        </w:rPr>
        <w:t xml:space="preserve">In addition to the above, the </w:t>
      </w:r>
      <w:r w:rsidRPr="008718B0">
        <w:rPr>
          <w:color w:val="000000" w:themeColor="text1"/>
          <w:sz w:val="22"/>
          <w:szCs w:val="22"/>
          <w:shd w:val="clear" w:color="auto" w:fill="FFFFFF"/>
          <w:lang w:val="en"/>
        </w:rPr>
        <w:t>Data Subject is entitled to receive from the Data Controller the personal data disclosed by him/her, in a structured, commonly used and machine-readable format.</w:t>
      </w:r>
    </w:p>
    <w:p w14:paraId="294EC027" w14:textId="77777777" w:rsidR="00B5575F" w:rsidRPr="008718B0" w:rsidRDefault="002D6755" w:rsidP="00A235A4">
      <w:pPr>
        <w:pStyle w:val="NormlWeb"/>
        <w:numPr>
          <w:ilvl w:val="1"/>
          <w:numId w:val="1"/>
        </w:numPr>
        <w:spacing w:before="120" w:beforeAutospacing="0" w:after="120" w:afterAutospacing="0"/>
        <w:ind w:left="1134"/>
        <w:jc w:val="both"/>
        <w:rPr>
          <w:color w:val="000000" w:themeColor="text1"/>
          <w:sz w:val="22"/>
          <w:szCs w:val="22"/>
        </w:rPr>
      </w:pPr>
      <w:r w:rsidRPr="008718B0">
        <w:rPr>
          <w:b/>
          <w:bCs/>
          <w:color w:val="000000" w:themeColor="text1"/>
          <w:sz w:val="22"/>
          <w:szCs w:val="22"/>
          <w:lang w:val="en"/>
        </w:rPr>
        <w:t>Right to</w:t>
      </w:r>
      <w:r w:rsidRPr="008718B0">
        <w:rPr>
          <w:b/>
          <w:bCs/>
          <w:color w:val="000000" w:themeColor="text1"/>
          <w:sz w:val="22"/>
          <w:szCs w:val="22"/>
          <w:shd w:val="clear" w:color="auto" w:fill="FFFFFF"/>
          <w:lang w:val="en"/>
        </w:rPr>
        <w:t xml:space="preserve"> rectification (Article 16 of the GDPR)</w:t>
      </w:r>
    </w:p>
    <w:p w14:paraId="4D2E692A" w14:textId="77777777" w:rsidR="00B5575F" w:rsidRPr="008718B0" w:rsidRDefault="00B5575F"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The Data Subject may request the rectification of any inaccurate personal data at any time, and the Data Controller shall comply with such request as soon as possible.</w:t>
      </w:r>
    </w:p>
    <w:p w14:paraId="088557AA" w14:textId="77777777" w:rsidR="002D6755" w:rsidRPr="008718B0" w:rsidRDefault="002D6755" w:rsidP="00A235A4">
      <w:pPr>
        <w:pStyle w:val="NormlWeb"/>
        <w:numPr>
          <w:ilvl w:val="1"/>
          <w:numId w:val="1"/>
        </w:numPr>
        <w:spacing w:before="120" w:beforeAutospacing="0" w:after="120" w:afterAutospacing="0"/>
        <w:ind w:left="1134"/>
        <w:jc w:val="both"/>
        <w:rPr>
          <w:color w:val="000000" w:themeColor="text1"/>
          <w:sz w:val="22"/>
          <w:szCs w:val="22"/>
        </w:rPr>
      </w:pPr>
      <w:r w:rsidRPr="008718B0">
        <w:rPr>
          <w:b/>
          <w:bCs/>
          <w:color w:val="000000" w:themeColor="text1"/>
          <w:sz w:val="22"/>
          <w:szCs w:val="22"/>
          <w:lang w:val="en"/>
        </w:rPr>
        <w:t>Right to erasure, right to be</w:t>
      </w:r>
      <w:r w:rsidRPr="008718B0">
        <w:rPr>
          <w:b/>
          <w:bCs/>
          <w:color w:val="000000" w:themeColor="text1"/>
          <w:sz w:val="22"/>
          <w:szCs w:val="22"/>
          <w:shd w:val="clear" w:color="auto" w:fill="FFFFFF"/>
          <w:lang w:val="en"/>
        </w:rPr>
        <w:t xml:space="preserve"> forgotten (Article 17 of the GDPR)</w:t>
      </w:r>
    </w:p>
    <w:p w14:paraId="7E80BB58" w14:textId="77777777" w:rsidR="00732439" w:rsidRPr="008718B0" w:rsidRDefault="00732439"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 xml:space="preserve">The Data Subject has the right to obtain from the data controller the erasure of their personal data without undue delay and the data controller shall be obliged to erase such personal data of the Data Subject without undue delay. </w:t>
      </w:r>
    </w:p>
    <w:p w14:paraId="2BA00DB7" w14:textId="77777777" w:rsidR="00732439" w:rsidRPr="008718B0" w:rsidRDefault="00732439"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The Data Subject acknowledges that if this renders the performance of the service contract impossible, he/she must also terminate the contract.</w:t>
      </w:r>
    </w:p>
    <w:p w14:paraId="363AEAF1" w14:textId="77777777" w:rsidR="00732439" w:rsidRPr="008718B0" w:rsidRDefault="00732439"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The Data Controller does not have to erase the data if it is necessary to assert or protect its own lawful claims. (Point e) of Article17(3) of the GDPR)</w:t>
      </w:r>
    </w:p>
    <w:p w14:paraId="0D53E1A4" w14:textId="77777777" w:rsidR="00732439" w:rsidRPr="008718B0" w:rsidRDefault="00732439" w:rsidP="00A235A4">
      <w:pPr>
        <w:pStyle w:val="NormlWeb"/>
        <w:numPr>
          <w:ilvl w:val="1"/>
          <w:numId w:val="1"/>
        </w:numPr>
        <w:spacing w:before="120" w:beforeAutospacing="0" w:after="120" w:afterAutospacing="0"/>
        <w:ind w:left="1134"/>
        <w:jc w:val="both"/>
        <w:rPr>
          <w:color w:val="000000" w:themeColor="text1"/>
          <w:sz w:val="22"/>
          <w:szCs w:val="22"/>
        </w:rPr>
      </w:pPr>
      <w:r w:rsidRPr="008718B0">
        <w:rPr>
          <w:b/>
          <w:bCs/>
          <w:color w:val="000000" w:themeColor="text1"/>
          <w:sz w:val="22"/>
          <w:szCs w:val="22"/>
          <w:lang w:val="en"/>
        </w:rPr>
        <w:t>Right to restriction of processing</w:t>
      </w:r>
      <w:r w:rsidRPr="008718B0">
        <w:rPr>
          <w:b/>
          <w:bCs/>
          <w:color w:val="000000" w:themeColor="text1"/>
          <w:sz w:val="22"/>
          <w:szCs w:val="22"/>
          <w:shd w:val="clear" w:color="auto" w:fill="FFFFFF"/>
          <w:lang w:val="en"/>
        </w:rPr>
        <w:t xml:space="preserve"> (Article 18 of the GDPR)</w:t>
      </w:r>
    </w:p>
    <w:p w14:paraId="66040BFF" w14:textId="77777777" w:rsidR="00732439" w:rsidRPr="008718B0" w:rsidRDefault="00732439"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The Data Subject has the right to obtain from the Data Controller the restriction of processing.</w:t>
      </w:r>
    </w:p>
    <w:p w14:paraId="444D110D" w14:textId="77777777" w:rsidR="001741AB" w:rsidRPr="008718B0" w:rsidRDefault="001741AB"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t>The Data Subject acknowledges that if this renders the performance of the service contract impossible, he/she must also terminate the contract.</w:t>
      </w:r>
    </w:p>
    <w:p w14:paraId="5B93EA46" w14:textId="77777777" w:rsidR="001741AB" w:rsidRPr="008718B0" w:rsidRDefault="001741AB" w:rsidP="00A235A4">
      <w:pPr>
        <w:pStyle w:val="NormlWeb"/>
        <w:numPr>
          <w:ilvl w:val="1"/>
          <w:numId w:val="1"/>
        </w:numPr>
        <w:spacing w:before="120" w:beforeAutospacing="0" w:after="120" w:afterAutospacing="0"/>
        <w:ind w:left="1134"/>
        <w:jc w:val="both"/>
        <w:rPr>
          <w:color w:val="000000" w:themeColor="text1"/>
          <w:sz w:val="22"/>
          <w:szCs w:val="22"/>
        </w:rPr>
      </w:pPr>
      <w:r w:rsidRPr="008718B0">
        <w:rPr>
          <w:b/>
          <w:bCs/>
          <w:color w:val="000000" w:themeColor="text1"/>
          <w:sz w:val="22"/>
          <w:szCs w:val="22"/>
          <w:lang w:val="en"/>
        </w:rPr>
        <w:t>Right to portability</w:t>
      </w:r>
      <w:r w:rsidRPr="008718B0">
        <w:rPr>
          <w:b/>
          <w:bCs/>
          <w:color w:val="000000" w:themeColor="text1"/>
          <w:sz w:val="22"/>
          <w:szCs w:val="22"/>
          <w:shd w:val="clear" w:color="auto" w:fill="FFFFFF"/>
          <w:lang w:val="en"/>
        </w:rPr>
        <w:t xml:space="preserve"> (Article 20 of the GDPR)</w:t>
      </w:r>
    </w:p>
    <w:p w14:paraId="548F755E" w14:textId="0C88D1B3" w:rsidR="008D1C2D" w:rsidRPr="008718B0" w:rsidRDefault="001741AB" w:rsidP="00A235A4">
      <w:pPr>
        <w:pStyle w:val="NormlWeb"/>
        <w:spacing w:before="120" w:beforeAutospacing="0" w:after="120" w:afterAutospacing="0"/>
        <w:jc w:val="both"/>
        <w:rPr>
          <w:color w:val="000000" w:themeColor="text1"/>
          <w:sz w:val="22"/>
          <w:szCs w:val="22"/>
          <w:shd w:val="clear" w:color="auto" w:fill="FFFFFF"/>
        </w:rPr>
      </w:pPr>
      <w:r w:rsidRPr="008718B0">
        <w:rPr>
          <w:color w:val="000000" w:themeColor="text1"/>
          <w:sz w:val="22"/>
          <w:szCs w:val="22"/>
          <w:shd w:val="clear" w:color="auto" w:fill="FFFFFF"/>
          <w:lang w:val="en"/>
        </w:rPr>
        <w:lastRenderedPageBreak/>
        <w:t>The Data Subject has the right to receive the personal data concerning him/her, which he/she has provided to a Data Controller, in a structured, commonly used</w:t>
      </w:r>
      <w:r w:rsidR="00A235A4" w:rsidRPr="008718B0">
        <w:rPr>
          <w:color w:val="000000" w:themeColor="text1"/>
          <w:sz w:val="22"/>
          <w:szCs w:val="22"/>
          <w:shd w:val="clear" w:color="auto" w:fill="FFFFFF"/>
          <w:lang w:val="en"/>
        </w:rPr>
        <w:t>,</w:t>
      </w:r>
      <w:r w:rsidRPr="008718B0">
        <w:rPr>
          <w:color w:val="000000" w:themeColor="text1"/>
          <w:sz w:val="22"/>
          <w:szCs w:val="22"/>
          <w:shd w:val="clear" w:color="auto" w:fill="FFFFFF"/>
          <w:lang w:val="en"/>
        </w:rPr>
        <w:t xml:space="preserve"> and machine-readable format and </w:t>
      </w:r>
      <w:r w:rsidR="00A235A4" w:rsidRPr="008718B0">
        <w:rPr>
          <w:color w:val="000000" w:themeColor="text1"/>
          <w:sz w:val="22"/>
          <w:szCs w:val="22"/>
          <w:shd w:val="clear" w:color="auto" w:fill="FFFFFF"/>
          <w:lang w:val="en"/>
        </w:rPr>
        <w:t>has</w:t>
      </w:r>
      <w:r w:rsidRPr="008718B0">
        <w:rPr>
          <w:color w:val="000000" w:themeColor="text1"/>
          <w:sz w:val="22"/>
          <w:szCs w:val="22"/>
          <w:shd w:val="clear" w:color="auto" w:fill="FFFFFF"/>
          <w:lang w:val="en"/>
        </w:rPr>
        <w:t xml:space="preserve"> the right to transmit </w:t>
      </w:r>
      <w:proofErr w:type="gramStart"/>
      <w:r w:rsidRPr="008718B0">
        <w:rPr>
          <w:color w:val="000000" w:themeColor="text1"/>
          <w:sz w:val="22"/>
          <w:szCs w:val="22"/>
          <w:shd w:val="clear" w:color="auto" w:fill="FFFFFF"/>
          <w:lang w:val="en"/>
        </w:rPr>
        <w:t>those</w:t>
      </w:r>
      <w:proofErr w:type="gramEnd"/>
      <w:r w:rsidRPr="008718B0">
        <w:rPr>
          <w:color w:val="000000" w:themeColor="text1"/>
          <w:sz w:val="22"/>
          <w:szCs w:val="22"/>
          <w:shd w:val="clear" w:color="auto" w:fill="FFFFFF"/>
          <w:lang w:val="en"/>
        </w:rPr>
        <w:t xml:space="preserve"> data to another data controller. Except where the Data Controller processes the data for its own legitimate interests. (Data processing due to financial claims.)</w:t>
      </w:r>
    </w:p>
    <w:p w14:paraId="0BE9B20D" w14:textId="77777777" w:rsidR="00B5575F" w:rsidRPr="008718B0" w:rsidRDefault="00B5575F" w:rsidP="00A235A4">
      <w:pPr>
        <w:pStyle w:val="NormlWeb"/>
        <w:numPr>
          <w:ilvl w:val="0"/>
          <w:numId w:val="22"/>
        </w:numPr>
        <w:spacing w:before="120" w:beforeAutospacing="0" w:after="120" w:afterAutospacing="0"/>
        <w:jc w:val="both"/>
        <w:rPr>
          <w:color w:val="000000" w:themeColor="text1"/>
          <w:sz w:val="22"/>
          <w:szCs w:val="22"/>
        </w:rPr>
      </w:pPr>
      <w:r w:rsidRPr="008718B0">
        <w:rPr>
          <w:rStyle w:val="Kiemels2"/>
          <w:color w:val="000000" w:themeColor="text1"/>
          <w:sz w:val="22"/>
          <w:szCs w:val="22"/>
          <w:u w:val="single"/>
          <w:lang w:val="en"/>
        </w:rPr>
        <w:t>Legal Remedy</w:t>
      </w:r>
    </w:p>
    <w:p w14:paraId="1F605DFD" w14:textId="77777777" w:rsidR="00B5575F" w:rsidRPr="008718B0" w:rsidRDefault="00B5575F" w:rsidP="00A235A4">
      <w:pPr>
        <w:pStyle w:val="NormlWeb"/>
        <w:spacing w:before="120" w:beforeAutospacing="0" w:after="120" w:afterAutospacing="0"/>
        <w:jc w:val="both"/>
        <w:rPr>
          <w:color w:val="000000" w:themeColor="text1"/>
          <w:sz w:val="22"/>
          <w:szCs w:val="22"/>
        </w:rPr>
      </w:pPr>
      <w:r w:rsidRPr="008718B0">
        <w:rPr>
          <w:color w:val="000000" w:themeColor="text1"/>
          <w:sz w:val="22"/>
          <w:szCs w:val="22"/>
          <w:shd w:val="clear" w:color="auto" w:fill="FFFFFF"/>
          <w:lang w:val="en"/>
        </w:rPr>
        <w:t>If you consider that your rights related to the processing of your personal data have been violated, you may contact the Data Controller with your questions or for legal remedy at the contact details provided above.</w:t>
      </w:r>
    </w:p>
    <w:p w14:paraId="5D5AC870" w14:textId="475207FC" w:rsidR="00180FAF" w:rsidRPr="00C871F0" w:rsidRDefault="00180FAF" w:rsidP="00A235A4">
      <w:pPr>
        <w:pStyle w:val="NormlWeb"/>
        <w:spacing w:before="120" w:beforeAutospacing="0" w:after="120" w:afterAutospacing="0"/>
        <w:jc w:val="both"/>
        <w:rPr>
          <w:color w:val="000000" w:themeColor="text1"/>
          <w:sz w:val="22"/>
          <w:szCs w:val="22"/>
          <w:shd w:val="clear" w:color="auto" w:fill="FFFFFF"/>
        </w:rPr>
      </w:pPr>
    </w:p>
    <w:sectPr w:rsidR="00180FAF" w:rsidRPr="00C871F0" w:rsidSect="00E76A0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500"/>
    <w:multiLevelType w:val="hybridMultilevel"/>
    <w:tmpl w:val="E60C0DE6"/>
    <w:lvl w:ilvl="0" w:tplc="F36E4EEA">
      <w:start w:val="1"/>
      <w:numFmt w:val="decimal"/>
      <w:lvlText w:val="(%1)"/>
      <w:lvlJc w:val="left"/>
      <w:pPr>
        <w:ind w:left="371" w:hanging="360"/>
      </w:pPr>
      <w:rPr>
        <w:rFonts w:hint="default"/>
      </w:rPr>
    </w:lvl>
    <w:lvl w:ilvl="1" w:tplc="040E0019" w:tentative="1">
      <w:start w:val="1"/>
      <w:numFmt w:val="lowerLetter"/>
      <w:lvlText w:val="%2."/>
      <w:lvlJc w:val="left"/>
      <w:pPr>
        <w:ind w:left="1091" w:hanging="360"/>
      </w:pPr>
    </w:lvl>
    <w:lvl w:ilvl="2" w:tplc="040E001B" w:tentative="1">
      <w:start w:val="1"/>
      <w:numFmt w:val="lowerRoman"/>
      <w:lvlText w:val="%3."/>
      <w:lvlJc w:val="right"/>
      <w:pPr>
        <w:ind w:left="1811" w:hanging="180"/>
      </w:pPr>
    </w:lvl>
    <w:lvl w:ilvl="3" w:tplc="040E000F" w:tentative="1">
      <w:start w:val="1"/>
      <w:numFmt w:val="decimal"/>
      <w:lvlText w:val="%4."/>
      <w:lvlJc w:val="left"/>
      <w:pPr>
        <w:ind w:left="2531" w:hanging="360"/>
      </w:pPr>
    </w:lvl>
    <w:lvl w:ilvl="4" w:tplc="040E0019" w:tentative="1">
      <w:start w:val="1"/>
      <w:numFmt w:val="lowerLetter"/>
      <w:lvlText w:val="%5."/>
      <w:lvlJc w:val="left"/>
      <w:pPr>
        <w:ind w:left="3251" w:hanging="360"/>
      </w:pPr>
    </w:lvl>
    <w:lvl w:ilvl="5" w:tplc="040E001B" w:tentative="1">
      <w:start w:val="1"/>
      <w:numFmt w:val="lowerRoman"/>
      <w:lvlText w:val="%6."/>
      <w:lvlJc w:val="right"/>
      <w:pPr>
        <w:ind w:left="3971" w:hanging="180"/>
      </w:pPr>
    </w:lvl>
    <w:lvl w:ilvl="6" w:tplc="040E000F" w:tentative="1">
      <w:start w:val="1"/>
      <w:numFmt w:val="decimal"/>
      <w:lvlText w:val="%7."/>
      <w:lvlJc w:val="left"/>
      <w:pPr>
        <w:ind w:left="4691" w:hanging="360"/>
      </w:pPr>
    </w:lvl>
    <w:lvl w:ilvl="7" w:tplc="040E0019" w:tentative="1">
      <w:start w:val="1"/>
      <w:numFmt w:val="lowerLetter"/>
      <w:lvlText w:val="%8."/>
      <w:lvlJc w:val="left"/>
      <w:pPr>
        <w:ind w:left="5411" w:hanging="360"/>
      </w:pPr>
    </w:lvl>
    <w:lvl w:ilvl="8" w:tplc="040E001B" w:tentative="1">
      <w:start w:val="1"/>
      <w:numFmt w:val="lowerRoman"/>
      <w:lvlText w:val="%9."/>
      <w:lvlJc w:val="right"/>
      <w:pPr>
        <w:ind w:left="6131" w:hanging="180"/>
      </w:pPr>
    </w:lvl>
  </w:abstractNum>
  <w:abstractNum w:abstractNumId="1" w15:restartNumberingAfterBreak="0">
    <w:nsid w:val="0C164A18"/>
    <w:multiLevelType w:val="hybridMultilevel"/>
    <w:tmpl w:val="E77C324C"/>
    <w:lvl w:ilvl="0" w:tplc="F0625DF6">
      <w:start w:val="1"/>
      <w:numFmt w:val="upperRoman"/>
      <w:lvlText w:val="%1."/>
      <w:lvlJc w:val="left"/>
      <w:pPr>
        <w:ind w:left="1080" w:hanging="72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EE0A48"/>
    <w:multiLevelType w:val="hybridMultilevel"/>
    <w:tmpl w:val="99282298"/>
    <w:lvl w:ilvl="0" w:tplc="87A8D89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4725F2"/>
    <w:multiLevelType w:val="multilevel"/>
    <w:tmpl w:val="00A8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179B5"/>
    <w:multiLevelType w:val="hybridMultilevel"/>
    <w:tmpl w:val="C19405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007AB9"/>
    <w:multiLevelType w:val="hybridMultilevel"/>
    <w:tmpl w:val="3072DC14"/>
    <w:lvl w:ilvl="0" w:tplc="040E000F">
      <w:start w:val="1"/>
      <w:numFmt w:val="decimal"/>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280A47"/>
    <w:multiLevelType w:val="hybridMultilevel"/>
    <w:tmpl w:val="E5C08416"/>
    <w:lvl w:ilvl="0" w:tplc="41E65FAC">
      <w:start w:val="2019"/>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15:restartNumberingAfterBreak="0">
    <w:nsid w:val="1CB049C2"/>
    <w:multiLevelType w:val="multilevel"/>
    <w:tmpl w:val="8CDC641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35B1C"/>
    <w:multiLevelType w:val="hybridMultilevel"/>
    <w:tmpl w:val="5C1625A6"/>
    <w:lvl w:ilvl="0" w:tplc="F0625DF6">
      <w:start w:val="1"/>
      <w:numFmt w:val="upperRoman"/>
      <w:lvlText w:val="%1."/>
      <w:lvlJc w:val="left"/>
      <w:pPr>
        <w:ind w:left="1080" w:hanging="72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C8644FC"/>
    <w:multiLevelType w:val="hybridMultilevel"/>
    <w:tmpl w:val="92C409D8"/>
    <w:lvl w:ilvl="0" w:tplc="E5DCCD5A">
      <w:start w:val="1"/>
      <w:numFmt w:val="decimal"/>
      <w:lvlText w:val="%1."/>
      <w:lvlJc w:val="left"/>
      <w:pPr>
        <w:ind w:left="644"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CE85E09"/>
    <w:multiLevelType w:val="multilevel"/>
    <w:tmpl w:val="919C8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A25264"/>
    <w:multiLevelType w:val="hybridMultilevel"/>
    <w:tmpl w:val="A1AE3DCC"/>
    <w:lvl w:ilvl="0" w:tplc="860E3A0E">
      <w:start w:val="3"/>
      <w:numFmt w:val="upperLetter"/>
      <w:lvlText w:val="%1)"/>
      <w:lvlJc w:val="left"/>
      <w:pPr>
        <w:ind w:left="371" w:hanging="360"/>
      </w:pPr>
      <w:rPr>
        <w:rFonts w:hint="default"/>
      </w:rPr>
    </w:lvl>
    <w:lvl w:ilvl="1" w:tplc="040E0019" w:tentative="1">
      <w:start w:val="1"/>
      <w:numFmt w:val="lowerLetter"/>
      <w:lvlText w:val="%2."/>
      <w:lvlJc w:val="left"/>
      <w:pPr>
        <w:ind w:left="1091" w:hanging="360"/>
      </w:pPr>
    </w:lvl>
    <w:lvl w:ilvl="2" w:tplc="040E001B" w:tentative="1">
      <w:start w:val="1"/>
      <w:numFmt w:val="lowerRoman"/>
      <w:lvlText w:val="%3."/>
      <w:lvlJc w:val="right"/>
      <w:pPr>
        <w:ind w:left="1811" w:hanging="180"/>
      </w:pPr>
    </w:lvl>
    <w:lvl w:ilvl="3" w:tplc="040E000F" w:tentative="1">
      <w:start w:val="1"/>
      <w:numFmt w:val="decimal"/>
      <w:lvlText w:val="%4."/>
      <w:lvlJc w:val="left"/>
      <w:pPr>
        <w:ind w:left="2531" w:hanging="360"/>
      </w:pPr>
    </w:lvl>
    <w:lvl w:ilvl="4" w:tplc="040E0019" w:tentative="1">
      <w:start w:val="1"/>
      <w:numFmt w:val="lowerLetter"/>
      <w:lvlText w:val="%5."/>
      <w:lvlJc w:val="left"/>
      <w:pPr>
        <w:ind w:left="3251" w:hanging="360"/>
      </w:pPr>
    </w:lvl>
    <w:lvl w:ilvl="5" w:tplc="040E001B" w:tentative="1">
      <w:start w:val="1"/>
      <w:numFmt w:val="lowerRoman"/>
      <w:lvlText w:val="%6."/>
      <w:lvlJc w:val="right"/>
      <w:pPr>
        <w:ind w:left="3971" w:hanging="180"/>
      </w:pPr>
    </w:lvl>
    <w:lvl w:ilvl="6" w:tplc="040E000F" w:tentative="1">
      <w:start w:val="1"/>
      <w:numFmt w:val="decimal"/>
      <w:lvlText w:val="%7."/>
      <w:lvlJc w:val="left"/>
      <w:pPr>
        <w:ind w:left="4691" w:hanging="360"/>
      </w:pPr>
    </w:lvl>
    <w:lvl w:ilvl="7" w:tplc="040E0019" w:tentative="1">
      <w:start w:val="1"/>
      <w:numFmt w:val="lowerLetter"/>
      <w:lvlText w:val="%8."/>
      <w:lvlJc w:val="left"/>
      <w:pPr>
        <w:ind w:left="5411" w:hanging="360"/>
      </w:pPr>
    </w:lvl>
    <w:lvl w:ilvl="8" w:tplc="040E001B" w:tentative="1">
      <w:start w:val="1"/>
      <w:numFmt w:val="lowerRoman"/>
      <w:lvlText w:val="%9."/>
      <w:lvlJc w:val="right"/>
      <w:pPr>
        <w:ind w:left="6131" w:hanging="180"/>
      </w:pPr>
    </w:lvl>
  </w:abstractNum>
  <w:abstractNum w:abstractNumId="12" w15:restartNumberingAfterBreak="0">
    <w:nsid w:val="50FF17AC"/>
    <w:multiLevelType w:val="hybridMultilevel"/>
    <w:tmpl w:val="0ED2CB16"/>
    <w:lvl w:ilvl="0" w:tplc="1C2045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AC3D4F"/>
    <w:multiLevelType w:val="hybridMultilevel"/>
    <w:tmpl w:val="931C2CEC"/>
    <w:lvl w:ilvl="0" w:tplc="87A8D89C">
      <w:start w:val="1"/>
      <w:numFmt w:val="bullet"/>
      <w:lvlText w:val="-"/>
      <w:lvlJc w:val="left"/>
      <w:pPr>
        <w:ind w:left="1080" w:hanging="72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8A74ECF"/>
    <w:multiLevelType w:val="hybridMultilevel"/>
    <w:tmpl w:val="9E04884A"/>
    <w:lvl w:ilvl="0" w:tplc="6ED8ED92">
      <w:start w:val="3"/>
      <w:numFmt w:val="lowerLetter"/>
      <w:lvlText w:val="%1)"/>
      <w:lvlJc w:val="left"/>
      <w:pPr>
        <w:ind w:left="371" w:hanging="360"/>
      </w:pPr>
      <w:rPr>
        <w:rFonts w:hint="default"/>
      </w:rPr>
    </w:lvl>
    <w:lvl w:ilvl="1" w:tplc="040E0019" w:tentative="1">
      <w:start w:val="1"/>
      <w:numFmt w:val="lowerLetter"/>
      <w:lvlText w:val="%2."/>
      <w:lvlJc w:val="left"/>
      <w:pPr>
        <w:ind w:left="1091" w:hanging="360"/>
      </w:pPr>
    </w:lvl>
    <w:lvl w:ilvl="2" w:tplc="040E001B" w:tentative="1">
      <w:start w:val="1"/>
      <w:numFmt w:val="lowerRoman"/>
      <w:lvlText w:val="%3."/>
      <w:lvlJc w:val="right"/>
      <w:pPr>
        <w:ind w:left="1811" w:hanging="180"/>
      </w:pPr>
    </w:lvl>
    <w:lvl w:ilvl="3" w:tplc="040E000F" w:tentative="1">
      <w:start w:val="1"/>
      <w:numFmt w:val="decimal"/>
      <w:lvlText w:val="%4."/>
      <w:lvlJc w:val="left"/>
      <w:pPr>
        <w:ind w:left="2531" w:hanging="360"/>
      </w:pPr>
    </w:lvl>
    <w:lvl w:ilvl="4" w:tplc="040E0019" w:tentative="1">
      <w:start w:val="1"/>
      <w:numFmt w:val="lowerLetter"/>
      <w:lvlText w:val="%5."/>
      <w:lvlJc w:val="left"/>
      <w:pPr>
        <w:ind w:left="3251" w:hanging="360"/>
      </w:pPr>
    </w:lvl>
    <w:lvl w:ilvl="5" w:tplc="040E001B" w:tentative="1">
      <w:start w:val="1"/>
      <w:numFmt w:val="lowerRoman"/>
      <w:lvlText w:val="%6."/>
      <w:lvlJc w:val="right"/>
      <w:pPr>
        <w:ind w:left="3971" w:hanging="180"/>
      </w:pPr>
    </w:lvl>
    <w:lvl w:ilvl="6" w:tplc="040E000F" w:tentative="1">
      <w:start w:val="1"/>
      <w:numFmt w:val="decimal"/>
      <w:lvlText w:val="%7."/>
      <w:lvlJc w:val="left"/>
      <w:pPr>
        <w:ind w:left="4691" w:hanging="360"/>
      </w:pPr>
    </w:lvl>
    <w:lvl w:ilvl="7" w:tplc="040E0019" w:tentative="1">
      <w:start w:val="1"/>
      <w:numFmt w:val="lowerLetter"/>
      <w:lvlText w:val="%8."/>
      <w:lvlJc w:val="left"/>
      <w:pPr>
        <w:ind w:left="5411" w:hanging="360"/>
      </w:pPr>
    </w:lvl>
    <w:lvl w:ilvl="8" w:tplc="040E001B" w:tentative="1">
      <w:start w:val="1"/>
      <w:numFmt w:val="lowerRoman"/>
      <w:lvlText w:val="%9."/>
      <w:lvlJc w:val="right"/>
      <w:pPr>
        <w:ind w:left="6131" w:hanging="180"/>
      </w:pPr>
    </w:lvl>
  </w:abstractNum>
  <w:abstractNum w:abstractNumId="15" w15:restartNumberingAfterBreak="0">
    <w:nsid w:val="5D706DC6"/>
    <w:multiLevelType w:val="multilevel"/>
    <w:tmpl w:val="8CDC641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2705"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14D3B"/>
    <w:multiLevelType w:val="hybridMultilevel"/>
    <w:tmpl w:val="5C1625A6"/>
    <w:lvl w:ilvl="0" w:tplc="F0625DF6">
      <w:start w:val="1"/>
      <w:numFmt w:val="upperRoman"/>
      <w:lvlText w:val="%1."/>
      <w:lvlJc w:val="left"/>
      <w:pPr>
        <w:ind w:left="1080" w:hanging="72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25B00E7"/>
    <w:multiLevelType w:val="hybridMultilevel"/>
    <w:tmpl w:val="AB8A3C9C"/>
    <w:lvl w:ilvl="0" w:tplc="41E65FAC">
      <w:start w:val="2019"/>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66051165"/>
    <w:multiLevelType w:val="multilevel"/>
    <w:tmpl w:val="8CDC641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FE1F01"/>
    <w:multiLevelType w:val="hybridMultilevel"/>
    <w:tmpl w:val="E60C0DE6"/>
    <w:lvl w:ilvl="0" w:tplc="F36E4EEA">
      <w:start w:val="1"/>
      <w:numFmt w:val="decimal"/>
      <w:lvlText w:val="(%1)"/>
      <w:lvlJc w:val="left"/>
      <w:pPr>
        <w:ind w:left="371" w:hanging="360"/>
      </w:pPr>
      <w:rPr>
        <w:rFonts w:hint="default"/>
      </w:rPr>
    </w:lvl>
    <w:lvl w:ilvl="1" w:tplc="040E0019" w:tentative="1">
      <w:start w:val="1"/>
      <w:numFmt w:val="lowerLetter"/>
      <w:lvlText w:val="%2."/>
      <w:lvlJc w:val="left"/>
      <w:pPr>
        <w:ind w:left="1091" w:hanging="360"/>
      </w:pPr>
    </w:lvl>
    <w:lvl w:ilvl="2" w:tplc="040E001B" w:tentative="1">
      <w:start w:val="1"/>
      <w:numFmt w:val="lowerRoman"/>
      <w:lvlText w:val="%3."/>
      <w:lvlJc w:val="right"/>
      <w:pPr>
        <w:ind w:left="1811" w:hanging="180"/>
      </w:pPr>
    </w:lvl>
    <w:lvl w:ilvl="3" w:tplc="040E000F" w:tentative="1">
      <w:start w:val="1"/>
      <w:numFmt w:val="decimal"/>
      <w:lvlText w:val="%4."/>
      <w:lvlJc w:val="left"/>
      <w:pPr>
        <w:ind w:left="2531" w:hanging="360"/>
      </w:pPr>
    </w:lvl>
    <w:lvl w:ilvl="4" w:tplc="040E0019" w:tentative="1">
      <w:start w:val="1"/>
      <w:numFmt w:val="lowerLetter"/>
      <w:lvlText w:val="%5."/>
      <w:lvlJc w:val="left"/>
      <w:pPr>
        <w:ind w:left="3251" w:hanging="360"/>
      </w:pPr>
    </w:lvl>
    <w:lvl w:ilvl="5" w:tplc="040E001B" w:tentative="1">
      <w:start w:val="1"/>
      <w:numFmt w:val="lowerRoman"/>
      <w:lvlText w:val="%6."/>
      <w:lvlJc w:val="right"/>
      <w:pPr>
        <w:ind w:left="3971" w:hanging="180"/>
      </w:pPr>
    </w:lvl>
    <w:lvl w:ilvl="6" w:tplc="040E000F" w:tentative="1">
      <w:start w:val="1"/>
      <w:numFmt w:val="decimal"/>
      <w:lvlText w:val="%7."/>
      <w:lvlJc w:val="left"/>
      <w:pPr>
        <w:ind w:left="4691" w:hanging="360"/>
      </w:pPr>
    </w:lvl>
    <w:lvl w:ilvl="7" w:tplc="040E0019" w:tentative="1">
      <w:start w:val="1"/>
      <w:numFmt w:val="lowerLetter"/>
      <w:lvlText w:val="%8."/>
      <w:lvlJc w:val="left"/>
      <w:pPr>
        <w:ind w:left="5411" w:hanging="360"/>
      </w:pPr>
    </w:lvl>
    <w:lvl w:ilvl="8" w:tplc="040E001B" w:tentative="1">
      <w:start w:val="1"/>
      <w:numFmt w:val="lowerRoman"/>
      <w:lvlText w:val="%9."/>
      <w:lvlJc w:val="right"/>
      <w:pPr>
        <w:ind w:left="6131" w:hanging="180"/>
      </w:pPr>
    </w:lvl>
  </w:abstractNum>
  <w:abstractNum w:abstractNumId="20" w15:restartNumberingAfterBreak="0">
    <w:nsid w:val="75F63662"/>
    <w:multiLevelType w:val="hybridMultilevel"/>
    <w:tmpl w:val="D394750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64E5AB6"/>
    <w:multiLevelType w:val="hybridMultilevel"/>
    <w:tmpl w:val="A4E684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66F576A"/>
    <w:multiLevelType w:val="hybridMultilevel"/>
    <w:tmpl w:val="ABE875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A6E2FEA"/>
    <w:multiLevelType w:val="multilevel"/>
    <w:tmpl w:val="8CDC641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C0100"/>
    <w:multiLevelType w:val="hybridMultilevel"/>
    <w:tmpl w:val="057830EC"/>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5" w15:restartNumberingAfterBreak="0">
    <w:nsid w:val="7EE5589B"/>
    <w:multiLevelType w:val="multilevel"/>
    <w:tmpl w:val="8CDC641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2705"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931317">
    <w:abstractNumId w:val="15"/>
  </w:num>
  <w:num w:numId="2" w16cid:durableId="698506273">
    <w:abstractNumId w:val="10"/>
  </w:num>
  <w:num w:numId="3" w16cid:durableId="998465170">
    <w:abstractNumId w:val="12"/>
  </w:num>
  <w:num w:numId="4" w16cid:durableId="34235147">
    <w:abstractNumId w:val="19"/>
  </w:num>
  <w:num w:numId="5" w16cid:durableId="886993912">
    <w:abstractNumId w:val="2"/>
  </w:num>
  <w:num w:numId="6" w16cid:durableId="83259916">
    <w:abstractNumId w:val="0"/>
  </w:num>
  <w:num w:numId="7" w16cid:durableId="992679568">
    <w:abstractNumId w:val="11"/>
  </w:num>
  <w:num w:numId="8" w16cid:durableId="1133986646">
    <w:abstractNumId w:val="14"/>
  </w:num>
  <w:num w:numId="9" w16cid:durableId="477495542">
    <w:abstractNumId w:val="22"/>
  </w:num>
  <w:num w:numId="10" w16cid:durableId="1308392686">
    <w:abstractNumId w:val="9"/>
  </w:num>
  <w:num w:numId="11" w16cid:durableId="1173186532">
    <w:abstractNumId w:val="4"/>
  </w:num>
  <w:num w:numId="12" w16cid:durableId="1384712651">
    <w:abstractNumId w:val="16"/>
  </w:num>
  <w:num w:numId="13" w16cid:durableId="166946696">
    <w:abstractNumId w:val="13"/>
  </w:num>
  <w:num w:numId="14" w16cid:durableId="1214541931">
    <w:abstractNumId w:val="7"/>
  </w:num>
  <w:num w:numId="15" w16cid:durableId="2124419720">
    <w:abstractNumId w:val="23"/>
  </w:num>
  <w:num w:numId="16" w16cid:durableId="223874947">
    <w:abstractNumId w:val="18"/>
  </w:num>
  <w:num w:numId="17" w16cid:durableId="739868663">
    <w:abstractNumId w:val="25"/>
  </w:num>
  <w:num w:numId="18" w16cid:durableId="804006373">
    <w:abstractNumId w:val="1"/>
  </w:num>
  <w:num w:numId="19" w16cid:durableId="480467806">
    <w:abstractNumId w:val="3"/>
  </w:num>
  <w:num w:numId="20" w16cid:durableId="327515687">
    <w:abstractNumId w:val="8"/>
  </w:num>
  <w:num w:numId="21" w16cid:durableId="374817779">
    <w:abstractNumId w:val="21"/>
  </w:num>
  <w:num w:numId="22" w16cid:durableId="1372002298">
    <w:abstractNumId w:val="5"/>
  </w:num>
  <w:num w:numId="23" w16cid:durableId="289286946">
    <w:abstractNumId w:val="24"/>
  </w:num>
  <w:num w:numId="24" w16cid:durableId="1566254556">
    <w:abstractNumId w:val="6"/>
  </w:num>
  <w:num w:numId="25" w16cid:durableId="944846113">
    <w:abstractNumId w:val="17"/>
  </w:num>
  <w:num w:numId="26" w16cid:durableId="1770400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5F"/>
    <w:rsid w:val="000033AC"/>
    <w:rsid w:val="00041479"/>
    <w:rsid w:val="000E5389"/>
    <w:rsid w:val="001148A3"/>
    <w:rsid w:val="00150FEF"/>
    <w:rsid w:val="00162E16"/>
    <w:rsid w:val="00170FCE"/>
    <w:rsid w:val="001741AB"/>
    <w:rsid w:val="00180FAF"/>
    <w:rsid w:val="001B56F4"/>
    <w:rsid w:val="002336DF"/>
    <w:rsid w:val="00293070"/>
    <w:rsid w:val="002A00DB"/>
    <w:rsid w:val="002C07BB"/>
    <w:rsid w:val="002C27DF"/>
    <w:rsid w:val="002D6755"/>
    <w:rsid w:val="002F20D4"/>
    <w:rsid w:val="0034246E"/>
    <w:rsid w:val="0036541F"/>
    <w:rsid w:val="0037798B"/>
    <w:rsid w:val="0038496D"/>
    <w:rsid w:val="003F2225"/>
    <w:rsid w:val="00406F6B"/>
    <w:rsid w:val="00431965"/>
    <w:rsid w:val="004C3D08"/>
    <w:rsid w:val="00513CEB"/>
    <w:rsid w:val="00572C68"/>
    <w:rsid w:val="00593DAC"/>
    <w:rsid w:val="005E7B60"/>
    <w:rsid w:val="0061234A"/>
    <w:rsid w:val="00612FAA"/>
    <w:rsid w:val="00623A3D"/>
    <w:rsid w:val="00624982"/>
    <w:rsid w:val="006333C8"/>
    <w:rsid w:val="006758C8"/>
    <w:rsid w:val="006766A1"/>
    <w:rsid w:val="00695735"/>
    <w:rsid w:val="006C76EF"/>
    <w:rsid w:val="006E0149"/>
    <w:rsid w:val="007047A8"/>
    <w:rsid w:val="00732439"/>
    <w:rsid w:val="007934E6"/>
    <w:rsid w:val="007C0AA2"/>
    <w:rsid w:val="00812EAF"/>
    <w:rsid w:val="00823E03"/>
    <w:rsid w:val="008718B0"/>
    <w:rsid w:val="0087737D"/>
    <w:rsid w:val="008A4F34"/>
    <w:rsid w:val="008C7937"/>
    <w:rsid w:val="008D0AA9"/>
    <w:rsid w:val="008D1C2D"/>
    <w:rsid w:val="008D232B"/>
    <w:rsid w:val="008D3F4E"/>
    <w:rsid w:val="008E21BF"/>
    <w:rsid w:val="00900FDB"/>
    <w:rsid w:val="009027D0"/>
    <w:rsid w:val="0092754C"/>
    <w:rsid w:val="00930DD7"/>
    <w:rsid w:val="00953839"/>
    <w:rsid w:val="00983FB4"/>
    <w:rsid w:val="0098682F"/>
    <w:rsid w:val="0099034B"/>
    <w:rsid w:val="009F5AF7"/>
    <w:rsid w:val="00A176D1"/>
    <w:rsid w:val="00A235A4"/>
    <w:rsid w:val="00A32081"/>
    <w:rsid w:val="00A46C9F"/>
    <w:rsid w:val="00A53C94"/>
    <w:rsid w:val="00B5273A"/>
    <w:rsid w:val="00B5575F"/>
    <w:rsid w:val="00BA0DBD"/>
    <w:rsid w:val="00C4523F"/>
    <w:rsid w:val="00C45E14"/>
    <w:rsid w:val="00C85DAF"/>
    <w:rsid w:val="00C871F0"/>
    <w:rsid w:val="00CD0F6F"/>
    <w:rsid w:val="00CD27D9"/>
    <w:rsid w:val="00CE454C"/>
    <w:rsid w:val="00CE75F5"/>
    <w:rsid w:val="00CF3EA8"/>
    <w:rsid w:val="00CF5B8C"/>
    <w:rsid w:val="00D10A2C"/>
    <w:rsid w:val="00D16DD5"/>
    <w:rsid w:val="00D25B13"/>
    <w:rsid w:val="00D351BD"/>
    <w:rsid w:val="00D51806"/>
    <w:rsid w:val="00D82939"/>
    <w:rsid w:val="00DB170D"/>
    <w:rsid w:val="00E029D0"/>
    <w:rsid w:val="00E76A01"/>
    <w:rsid w:val="00E9636E"/>
    <w:rsid w:val="00EC2F3D"/>
    <w:rsid w:val="00ED4A0C"/>
    <w:rsid w:val="00EE326B"/>
    <w:rsid w:val="00FC7115"/>
    <w:rsid w:val="00FD2457"/>
    <w:rsid w:val="00FE110A"/>
    <w:rsid w:val="00FF0D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FBD0D"/>
  <w15:chartTrackingRefBased/>
  <w15:docId w15:val="{D1C4F3BA-6ED6-4551-8B92-086B5218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623A3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B5575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6758C8"/>
    <w:rPr>
      <w:color w:val="0563C1" w:themeColor="hyperlink"/>
      <w:u w:val="single"/>
    </w:rPr>
  </w:style>
  <w:style w:type="table" w:styleId="Rcsostblzat">
    <w:name w:val="Table Grid"/>
    <w:basedOn w:val="Normltblzat"/>
    <w:uiPriority w:val="39"/>
    <w:rsid w:val="0059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6766A1"/>
    <w:rPr>
      <w:b/>
      <w:bCs/>
    </w:rPr>
  </w:style>
  <w:style w:type="character" w:customStyle="1" w:styleId="Feloldatlanmegemlts1">
    <w:name w:val="Feloldatlan megemlítés1"/>
    <w:basedOn w:val="Bekezdsalapbettpusa"/>
    <w:uiPriority w:val="99"/>
    <w:semiHidden/>
    <w:unhideWhenUsed/>
    <w:rsid w:val="00FC7115"/>
    <w:rPr>
      <w:color w:val="605E5C"/>
      <w:shd w:val="clear" w:color="auto" w:fill="E1DFDD"/>
    </w:rPr>
  </w:style>
  <w:style w:type="paragraph" w:styleId="Listaszerbekezds">
    <w:name w:val="List Paragraph"/>
    <w:basedOn w:val="Norml"/>
    <w:uiPriority w:val="34"/>
    <w:qFormat/>
    <w:rsid w:val="00C871F0"/>
    <w:pPr>
      <w:ind w:left="720"/>
      <w:contextualSpacing/>
    </w:pPr>
  </w:style>
  <w:style w:type="character" w:styleId="Jegyzethivatkozs">
    <w:name w:val="annotation reference"/>
    <w:basedOn w:val="Bekezdsalapbettpusa"/>
    <w:uiPriority w:val="99"/>
    <w:semiHidden/>
    <w:unhideWhenUsed/>
    <w:rsid w:val="00170FCE"/>
    <w:rPr>
      <w:sz w:val="16"/>
      <w:szCs w:val="16"/>
    </w:rPr>
  </w:style>
  <w:style w:type="paragraph" w:styleId="Jegyzetszveg">
    <w:name w:val="annotation text"/>
    <w:basedOn w:val="Norml"/>
    <w:link w:val="JegyzetszvegChar"/>
    <w:uiPriority w:val="99"/>
    <w:semiHidden/>
    <w:unhideWhenUsed/>
    <w:rsid w:val="00170FCE"/>
    <w:pPr>
      <w:spacing w:line="240" w:lineRule="auto"/>
    </w:pPr>
    <w:rPr>
      <w:sz w:val="20"/>
      <w:szCs w:val="20"/>
    </w:rPr>
  </w:style>
  <w:style w:type="character" w:customStyle="1" w:styleId="JegyzetszvegChar">
    <w:name w:val="Jegyzetszöveg Char"/>
    <w:basedOn w:val="Bekezdsalapbettpusa"/>
    <w:link w:val="Jegyzetszveg"/>
    <w:uiPriority w:val="99"/>
    <w:semiHidden/>
    <w:rsid w:val="00170FCE"/>
    <w:rPr>
      <w:sz w:val="20"/>
      <w:szCs w:val="20"/>
    </w:rPr>
  </w:style>
  <w:style w:type="paragraph" w:styleId="Megjegyzstrgya">
    <w:name w:val="annotation subject"/>
    <w:basedOn w:val="Jegyzetszveg"/>
    <w:next w:val="Jegyzetszveg"/>
    <w:link w:val="MegjegyzstrgyaChar"/>
    <w:uiPriority w:val="99"/>
    <w:semiHidden/>
    <w:unhideWhenUsed/>
    <w:rsid w:val="00170FCE"/>
    <w:rPr>
      <w:b/>
      <w:bCs/>
    </w:rPr>
  </w:style>
  <w:style w:type="character" w:customStyle="1" w:styleId="MegjegyzstrgyaChar">
    <w:name w:val="Megjegyzés tárgya Char"/>
    <w:basedOn w:val="JegyzetszvegChar"/>
    <w:link w:val="Megjegyzstrgya"/>
    <w:uiPriority w:val="99"/>
    <w:semiHidden/>
    <w:rsid w:val="00170FCE"/>
    <w:rPr>
      <w:b/>
      <w:bCs/>
      <w:sz w:val="20"/>
      <w:szCs w:val="20"/>
    </w:rPr>
  </w:style>
  <w:style w:type="paragraph" w:styleId="Vltozat">
    <w:name w:val="Revision"/>
    <w:hidden/>
    <w:uiPriority w:val="99"/>
    <w:semiHidden/>
    <w:rsid w:val="00623A3D"/>
    <w:pPr>
      <w:spacing w:after="0" w:line="240" w:lineRule="auto"/>
    </w:pPr>
  </w:style>
  <w:style w:type="character" w:styleId="Feloldatlanmegemlts">
    <w:name w:val="Unresolved Mention"/>
    <w:basedOn w:val="Bekezdsalapbettpusa"/>
    <w:uiPriority w:val="99"/>
    <w:rsid w:val="00623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155629">
      <w:bodyDiv w:val="1"/>
      <w:marLeft w:val="0"/>
      <w:marRight w:val="0"/>
      <w:marTop w:val="0"/>
      <w:marBottom w:val="0"/>
      <w:divBdr>
        <w:top w:val="none" w:sz="0" w:space="0" w:color="auto"/>
        <w:left w:val="none" w:sz="0" w:space="0" w:color="auto"/>
        <w:bottom w:val="none" w:sz="0" w:space="0" w:color="auto"/>
        <w:right w:val="none" w:sz="0" w:space="0" w:color="auto"/>
      </w:divBdr>
    </w:div>
    <w:div w:id="1461918160">
      <w:bodyDiv w:val="1"/>
      <w:marLeft w:val="0"/>
      <w:marRight w:val="0"/>
      <w:marTop w:val="0"/>
      <w:marBottom w:val="0"/>
      <w:divBdr>
        <w:top w:val="none" w:sz="0" w:space="0" w:color="auto"/>
        <w:left w:val="none" w:sz="0" w:space="0" w:color="auto"/>
        <w:bottom w:val="none" w:sz="0" w:space="0" w:color="auto"/>
        <w:right w:val="none" w:sz="0" w:space="0" w:color="auto"/>
      </w:divBdr>
    </w:div>
    <w:div w:id="1889948776">
      <w:bodyDiv w:val="1"/>
      <w:marLeft w:val="0"/>
      <w:marRight w:val="0"/>
      <w:marTop w:val="0"/>
      <w:marBottom w:val="0"/>
      <w:divBdr>
        <w:top w:val="none" w:sz="0" w:space="0" w:color="auto"/>
        <w:left w:val="none" w:sz="0" w:space="0" w:color="auto"/>
        <w:bottom w:val="none" w:sz="0" w:space="0" w:color="auto"/>
        <w:right w:val="none" w:sz="0" w:space="0" w:color="auto"/>
      </w:divBdr>
    </w:div>
    <w:div w:id="19101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hu-hu/help/17479/windows-internet-explorer-11-change-security-privacy-sett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evainvestment.eu" TargetMode="External"/><Relationship Id="rId12" Type="http://schemas.openxmlformats.org/officeDocument/2006/relationships/hyperlink" Target="https://support.apple.com/hu-hu/HT2039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vainvestment.eu/" TargetMode="External"/><Relationship Id="rId11" Type="http://schemas.openxmlformats.org/officeDocument/2006/relationships/hyperlink" Target="https://support.apple.com/hu-hu/HT201265" TargetMode="External"/><Relationship Id="rId5" Type="http://schemas.openxmlformats.org/officeDocument/2006/relationships/webSettings" Target="webSettings.xml"/><Relationship Id="rId10" Type="http://schemas.openxmlformats.org/officeDocument/2006/relationships/hyperlink" Target="https://support.google.com/chrome/answer/95647?co=GENIE.Platform%3DDesktop&amp;amp;amp;hl=hu" TargetMode="External"/><Relationship Id="rId4" Type="http://schemas.openxmlformats.org/officeDocument/2006/relationships/settings" Target="settings.xml"/><Relationship Id="rId9" Type="http://schemas.openxmlformats.org/officeDocument/2006/relationships/hyperlink" Target="https://support.mozilla.org/hu/kb/sutik-engedelyezese-es-tiltasa-amit-weboldak-haszn"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95A7-86A8-48E7-B4F1-788D5558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2006</Words>
  <Characters>11931</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Gréczi Gergely Ádám</cp:lastModifiedBy>
  <cp:revision>8</cp:revision>
  <dcterms:created xsi:type="dcterms:W3CDTF">2023-09-05T12:18:00Z</dcterms:created>
  <dcterms:modified xsi:type="dcterms:W3CDTF">2024-11-28T10:22:00Z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7e24a7d7c283da03e76d382567343225dde73242814e358972ee372fc43d862a</vt:lpwstr>
  </property>
</Properties>
</file>